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153B" w14:textId="77777777" w:rsidR="006A6ABD" w:rsidRDefault="006A6ABD" w:rsidP="006A6ABD">
      <w:pPr>
        <w:jc w:val="right"/>
      </w:pPr>
    </w:p>
    <w:p w14:paraId="2C1EC310" w14:textId="77777777" w:rsidR="006A6ABD" w:rsidRDefault="006A6ABD" w:rsidP="006A6ABD">
      <w:pPr>
        <w:jc w:val="center"/>
      </w:pPr>
    </w:p>
    <w:p w14:paraId="332DFA41" w14:textId="210D2515" w:rsidR="006A6ABD" w:rsidRDefault="006A6ABD" w:rsidP="006A6ABD">
      <w:pPr>
        <w:tabs>
          <w:tab w:val="left" w:pos="3060"/>
        </w:tabs>
      </w:pPr>
      <w:r w:rsidRPr="00C52D19">
        <w:rPr>
          <w:b/>
        </w:rPr>
        <w:t>Division:</w:t>
      </w:r>
      <w:r>
        <w:tab/>
      </w:r>
      <w:r w:rsidR="00D865F9">
        <w:t xml:space="preserve">Rosherville Property Development Ltd. </w:t>
      </w:r>
    </w:p>
    <w:p w14:paraId="34C96404" w14:textId="77777777" w:rsidR="006A6ABD" w:rsidRPr="00C52D19" w:rsidRDefault="006A6ABD" w:rsidP="006A6ABD">
      <w:pPr>
        <w:tabs>
          <w:tab w:val="left" w:pos="3060"/>
        </w:tabs>
        <w:rPr>
          <w:b/>
        </w:rPr>
      </w:pPr>
    </w:p>
    <w:p w14:paraId="2D0EBDDA" w14:textId="4A6C0509" w:rsidR="006A6ABD" w:rsidRDefault="006A6ABD" w:rsidP="006A6ABD">
      <w:pPr>
        <w:tabs>
          <w:tab w:val="left" w:pos="3060"/>
        </w:tabs>
      </w:pPr>
      <w:r w:rsidRPr="00C52D19">
        <w:rPr>
          <w:b/>
        </w:rPr>
        <w:t>Post Title:</w:t>
      </w:r>
      <w:r>
        <w:tab/>
      </w:r>
      <w:r w:rsidR="00D865F9">
        <w:t>Property Management Contract Manager</w:t>
      </w:r>
    </w:p>
    <w:p w14:paraId="29962A37" w14:textId="77777777" w:rsidR="006A6ABD" w:rsidRDefault="006A6ABD" w:rsidP="006A6ABD">
      <w:pPr>
        <w:tabs>
          <w:tab w:val="left" w:pos="3060"/>
        </w:tabs>
      </w:pPr>
    </w:p>
    <w:p w14:paraId="00DE478B" w14:textId="41D216A4" w:rsidR="006A6ABD" w:rsidRDefault="006A6ABD" w:rsidP="006A6ABD">
      <w:pPr>
        <w:tabs>
          <w:tab w:val="left" w:pos="3060"/>
        </w:tabs>
      </w:pPr>
      <w:r w:rsidRPr="00C52D19">
        <w:rPr>
          <w:b/>
        </w:rPr>
        <w:t>Responsible to:</w:t>
      </w:r>
      <w:r>
        <w:tab/>
      </w:r>
      <w:r w:rsidR="00D865F9">
        <w:t>RPDL Board of Directors</w:t>
      </w:r>
    </w:p>
    <w:p w14:paraId="394E0B72" w14:textId="77777777" w:rsidR="00D865F9" w:rsidRDefault="00D865F9" w:rsidP="006A6ABD">
      <w:pPr>
        <w:tabs>
          <w:tab w:val="left" w:pos="3060"/>
        </w:tabs>
      </w:pPr>
    </w:p>
    <w:p w14:paraId="397112CB" w14:textId="77777777" w:rsidR="00D865F9" w:rsidRDefault="00D865F9" w:rsidP="006A6ABD">
      <w:pPr>
        <w:tabs>
          <w:tab w:val="left" w:pos="3060"/>
        </w:tabs>
      </w:pPr>
    </w:p>
    <w:p w14:paraId="66058EDE" w14:textId="77777777" w:rsidR="00D865F9" w:rsidRDefault="00D865F9" w:rsidP="006A6ABD">
      <w:pPr>
        <w:tabs>
          <w:tab w:val="left" w:pos="3060"/>
        </w:tabs>
      </w:pPr>
    </w:p>
    <w:p w14:paraId="6A6B3E84" w14:textId="77777777" w:rsidR="006A6ABD" w:rsidRDefault="006A6ABD" w:rsidP="006A6ABD">
      <w:pPr>
        <w:tabs>
          <w:tab w:val="left" w:pos="3060"/>
        </w:tabs>
      </w:pPr>
    </w:p>
    <w:p w14:paraId="2F4A2F70" w14:textId="77777777" w:rsidR="006A6ABD" w:rsidRDefault="006A6ABD" w:rsidP="006A6ABD">
      <w:pPr>
        <w:tabs>
          <w:tab w:val="left" w:pos="3060"/>
        </w:tabs>
        <w:rPr>
          <w:b/>
        </w:rPr>
      </w:pPr>
      <w:r w:rsidRPr="00C52D19">
        <w:rPr>
          <w:b/>
        </w:rPr>
        <w:t>Purpose of Job:</w:t>
      </w:r>
    </w:p>
    <w:p w14:paraId="7B139F3B" w14:textId="77777777" w:rsidR="00D865F9" w:rsidRDefault="00D865F9" w:rsidP="006A6ABD">
      <w:pPr>
        <w:tabs>
          <w:tab w:val="left" w:pos="3060"/>
        </w:tabs>
        <w:rPr>
          <w:b/>
        </w:rPr>
      </w:pPr>
    </w:p>
    <w:p w14:paraId="39360958" w14:textId="559EA4E7" w:rsidR="006A6ABD" w:rsidRPr="00F725FE" w:rsidRDefault="00D865F9" w:rsidP="00F725FE">
      <w:pPr>
        <w:tabs>
          <w:tab w:val="left" w:pos="3060"/>
        </w:tabs>
        <w:rPr>
          <w:b/>
        </w:rPr>
      </w:pPr>
      <w:r w:rsidRPr="005D3348">
        <w:t>The Property Management Contract Manager will act as the client-side lead responsible for the effective contract management of the Property Management Agreement (PMA) for a Build-to-Rent scheme</w:t>
      </w:r>
      <w:r>
        <w:t>, The Charter, consisting of 242 apartments and amenity areas</w:t>
      </w:r>
      <w:r w:rsidRPr="005D3348">
        <w:t xml:space="preserve">. The role ensures that the appointed </w:t>
      </w:r>
      <w:r>
        <w:t xml:space="preserve">Provider </w:t>
      </w:r>
      <w:r w:rsidRPr="005D3348">
        <w:t>delivers services in accordance with contractual obligations, agreed KPIs, regulatory requirements, and the client’s commercial and operational objectives</w:t>
      </w:r>
      <w:r w:rsidR="00E35A76">
        <w:t xml:space="preserve"> and will act as the interface between the Provider and the Board of Directors. </w:t>
      </w:r>
    </w:p>
    <w:p w14:paraId="691142D1" w14:textId="77777777" w:rsidR="006A6ABD" w:rsidRDefault="006A6ABD" w:rsidP="006A6ABD">
      <w:pPr>
        <w:tabs>
          <w:tab w:val="left" w:pos="540"/>
          <w:tab w:val="left" w:pos="3060"/>
        </w:tabs>
      </w:pPr>
    </w:p>
    <w:p w14:paraId="563D4190" w14:textId="77777777" w:rsidR="006A6ABD" w:rsidRPr="00C52D19" w:rsidRDefault="006A6ABD" w:rsidP="006A6ABD">
      <w:pPr>
        <w:tabs>
          <w:tab w:val="left" w:pos="540"/>
          <w:tab w:val="left" w:pos="3060"/>
        </w:tabs>
        <w:jc w:val="center"/>
        <w:rPr>
          <w:b/>
        </w:rPr>
      </w:pPr>
      <w:r w:rsidRPr="00C52D19">
        <w:rPr>
          <w:b/>
        </w:rPr>
        <w:t>Job Description</w:t>
      </w:r>
    </w:p>
    <w:p w14:paraId="070911E6" w14:textId="77777777" w:rsidR="006A6ABD" w:rsidRDefault="006A6ABD" w:rsidP="006A6ABD">
      <w:pPr>
        <w:tabs>
          <w:tab w:val="left" w:pos="540"/>
          <w:tab w:val="left" w:pos="3060"/>
        </w:tabs>
        <w:jc w:val="center"/>
      </w:pPr>
    </w:p>
    <w:p w14:paraId="02005D34" w14:textId="66C0D960" w:rsidR="006A6ABD" w:rsidRPr="00C85874" w:rsidRDefault="002C66A6" w:rsidP="00C85874">
      <w:pPr>
        <w:pStyle w:val="ListParagraph"/>
        <w:numPr>
          <w:ilvl w:val="0"/>
          <w:numId w:val="3"/>
        </w:numPr>
        <w:tabs>
          <w:tab w:val="left" w:pos="540"/>
          <w:tab w:val="left" w:pos="3060"/>
        </w:tabs>
        <w:rPr>
          <w:b/>
        </w:rPr>
      </w:pPr>
      <w:r>
        <w:rPr>
          <w:b/>
        </w:rPr>
        <w:t xml:space="preserve"> </w:t>
      </w:r>
      <w:r w:rsidR="006A6ABD" w:rsidRPr="00C85874">
        <w:rPr>
          <w:b/>
        </w:rPr>
        <w:t>Job Activities</w:t>
      </w:r>
    </w:p>
    <w:p w14:paraId="3B526087" w14:textId="77777777" w:rsidR="00C85874" w:rsidRPr="00C85874" w:rsidRDefault="00C85874" w:rsidP="00C85874">
      <w:pPr>
        <w:pStyle w:val="ListParagraph"/>
        <w:tabs>
          <w:tab w:val="left" w:pos="540"/>
          <w:tab w:val="left" w:pos="3060"/>
        </w:tabs>
        <w:ind w:left="900"/>
        <w:rPr>
          <w:b/>
        </w:rPr>
      </w:pPr>
    </w:p>
    <w:p w14:paraId="441B60C1" w14:textId="6D0DE549" w:rsidR="00E35A76" w:rsidRDefault="00E35A76" w:rsidP="00E35A76">
      <w:pPr>
        <w:numPr>
          <w:ilvl w:val="0"/>
          <w:numId w:val="2"/>
        </w:numPr>
        <w:spacing w:after="160" w:line="278" w:lineRule="auto"/>
      </w:pPr>
      <w:r w:rsidRPr="005D3348">
        <w:t xml:space="preserve">Ensure the </w:t>
      </w:r>
      <w:r w:rsidR="00C85874">
        <w:t xml:space="preserve">Provider </w:t>
      </w:r>
      <w:r w:rsidRPr="005D3348">
        <w:t>delivers high-quality resident services aligned with the B</w:t>
      </w:r>
      <w:r w:rsidR="00C85874">
        <w:t>uild to Rent</w:t>
      </w:r>
      <w:r w:rsidRPr="005D3348">
        <w:t xml:space="preserve"> operating model.</w:t>
      </w:r>
    </w:p>
    <w:p w14:paraId="14057821" w14:textId="77777777" w:rsidR="00C85874" w:rsidRPr="005D3348" w:rsidRDefault="00C85874" w:rsidP="00C85874">
      <w:pPr>
        <w:numPr>
          <w:ilvl w:val="0"/>
          <w:numId w:val="2"/>
        </w:numPr>
        <w:spacing w:after="160" w:line="278" w:lineRule="auto"/>
      </w:pPr>
      <w:r w:rsidRPr="005D3348">
        <w:t>Monitor performance against agreed KPIs, including resident satisfaction, voids, arrears, compliance, and maintenance response times.</w:t>
      </w:r>
    </w:p>
    <w:p w14:paraId="30DE3ED0" w14:textId="77777777" w:rsidR="00C85874" w:rsidRDefault="00C85874" w:rsidP="00C85874">
      <w:pPr>
        <w:numPr>
          <w:ilvl w:val="0"/>
          <w:numId w:val="2"/>
        </w:numPr>
        <w:spacing w:after="160" w:line="278" w:lineRule="auto"/>
      </w:pPr>
      <w:r w:rsidRPr="005D3348">
        <w:t>Chair regular performance review meetings and issue formal performance notices where required.</w:t>
      </w:r>
    </w:p>
    <w:p w14:paraId="590A954D" w14:textId="420576FE" w:rsidR="002310DF" w:rsidRPr="005D3348" w:rsidRDefault="002310DF" w:rsidP="00C85874">
      <w:pPr>
        <w:numPr>
          <w:ilvl w:val="0"/>
          <w:numId w:val="2"/>
        </w:numPr>
        <w:spacing w:after="160" w:line="278" w:lineRule="auto"/>
      </w:pPr>
      <w:r>
        <w:t xml:space="preserve">Assume the role of ‘Single point of contact’ under the Building Safety Act 2022 </w:t>
      </w:r>
      <w:r w:rsidR="0077076F">
        <w:t xml:space="preserve">and ensure that Rosherville are fulfilling their responsibilities as Principal Accountable Person (PAP) and that the Provider are meeting their </w:t>
      </w:r>
      <w:r w:rsidR="00490C18">
        <w:t xml:space="preserve">operational </w:t>
      </w:r>
      <w:r w:rsidR="0077076F">
        <w:t xml:space="preserve">obligations </w:t>
      </w:r>
      <w:r w:rsidR="00490C18">
        <w:t xml:space="preserve">in relation to the </w:t>
      </w:r>
      <w:r w:rsidR="0077076F">
        <w:t xml:space="preserve">Accountable Person (AP) </w:t>
      </w:r>
      <w:r w:rsidR="00490C18">
        <w:t xml:space="preserve">duties </w:t>
      </w:r>
      <w:r w:rsidR="0077076F">
        <w:t xml:space="preserve">and taking the necessary action accordingly. </w:t>
      </w:r>
    </w:p>
    <w:p w14:paraId="591C8D93" w14:textId="77777777" w:rsidR="00C85874" w:rsidRPr="005D3348" w:rsidRDefault="00C85874" w:rsidP="00C85874">
      <w:pPr>
        <w:numPr>
          <w:ilvl w:val="0"/>
          <w:numId w:val="2"/>
        </w:numPr>
        <w:spacing w:after="160" w:line="278" w:lineRule="auto"/>
      </w:pPr>
      <w:r w:rsidRPr="005D3348">
        <w:t>Drive continuous improvement initiatives and service enhancements.</w:t>
      </w:r>
    </w:p>
    <w:p w14:paraId="3980DCBD" w14:textId="215DCAD7" w:rsidR="00C85874" w:rsidRPr="005D3348" w:rsidRDefault="00C85874" w:rsidP="00C85874">
      <w:pPr>
        <w:numPr>
          <w:ilvl w:val="0"/>
          <w:numId w:val="2"/>
        </w:numPr>
        <w:spacing w:after="160" w:line="278" w:lineRule="auto"/>
      </w:pPr>
      <w:r w:rsidRPr="005D3348">
        <w:t xml:space="preserve">Ensure </w:t>
      </w:r>
      <w:r>
        <w:t>the Provider complies</w:t>
      </w:r>
      <w:r w:rsidRPr="005D3348">
        <w:t xml:space="preserve"> with statutory</w:t>
      </w:r>
      <w:r w:rsidR="00C00C5B">
        <w:t xml:space="preserve"> and </w:t>
      </w:r>
      <w:r w:rsidRPr="005D3348">
        <w:t>regulatory</w:t>
      </w:r>
      <w:r w:rsidR="00C00C5B">
        <w:t xml:space="preserve"> </w:t>
      </w:r>
      <w:r w:rsidRPr="005D3348">
        <w:t>requirements, including H&amp;S, building safety, and consumer standards.</w:t>
      </w:r>
    </w:p>
    <w:p w14:paraId="1FA118BA" w14:textId="77777777" w:rsidR="00C85874" w:rsidRDefault="00C85874" w:rsidP="00C85874">
      <w:pPr>
        <w:numPr>
          <w:ilvl w:val="0"/>
          <w:numId w:val="2"/>
        </w:numPr>
        <w:spacing w:after="160" w:line="278" w:lineRule="auto"/>
      </w:pPr>
      <w:r w:rsidRPr="005D3348">
        <w:t>Monitor risk, audit outcomes, and assurance processes relating to property management operations.</w:t>
      </w:r>
    </w:p>
    <w:p w14:paraId="13F9BE9D" w14:textId="67B2499D" w:rsidR="00560C4C" w:rsidRPr="005D3348" w:rsidRDefault="00560C4C" w:rsidP="00C85874">
      <w:pPr>
        <w:numPr>
          <w:ilvl w:val="0"/>
          <w:numId w:val="2"/>
        </w:numPr>
        <w:spacing w:after="160" w:line="278" w:lineRule="auto"/>
      </w:pPr>
      <w:r>
        <w:t xml:space="preserve">Lead on any operational matters on behalf of the board and in conjunction with the Provider. </w:t>
      </w:r>
    </w:p>
    <w:p w14:paraId="023E57CA" w14:textId="77777777" w:rsidR="00C85874" w:rsidRPr="005D3348" w:rsidRDefault="00C85874" w:rsidP="00C85874">
      <w:pPr>
        <w:numPr>
          <w:ilvl w:val="0"/>
          <w:numId w:val="2"/>
        </w:numPr>
        <w:spacing w:after="160" w:line="278" w:lineRule="auto"/>
      </w:pPr>
      <w:r w:rsidRPr="005D3348">
        <w:t>Maintain robust contract records, governance documentation, and reporting.</w:t>
      </w:r>
    </w:p>
    <w:p w14:paraId="30447B4E" w14:textId="77777777" w:rsidR="00C85874" w:rsidRPr="005D3348" w:rsidRDefault="00C85874" w:rsidP="00C85874">
      <w:pPr>
        <w:numPr>
          <w:ilvl w:val="0"/>
          <w:numId w:val="2"/>
        </w:numPr>
        <w:spacing w:after="160" w:line="278" w:lineRule="auto"/>
      </w:pPr>
      <w:r w:rsidRPr="005D3348">
        <w:t>Oversee operational budgets related to property management services.</w:t>
      </w:r>
    </w:p>
    <w:p w14:paraId="0FC208D0" w14:textId="75BE2C78" w:rsidR="00586382" w:rsidRDefault="00C85874" w:rsidP="00490C18">
      <w:pPr>
        <w:numPr>
          <w:ilvl w:val="0"/>
          <w:numId w:val="2"/>
        </w:numPr>
        <w:spacing w:after="160" w:line="278" w:lineRule="auto"/>
      </w:pPr>
      <w:r w:rsidRPr="005D3348">
        <w:lastRenderedPageBreak/>
        <w:t>Review annual service charge budgets and reconciliations (where applicable).</w:t>
      </w:r>
    </w:p>
    <w:p w14:paraId="53890D0D" w14:textId="5B8B72DA" w:rsidR="00EA6E9E" w:rsidRDefault="00C85874" w:rsidP="00586382">
      <w:pPr>
        <w:numPr>
          <w:ilvl w:val="0"/>
          <w:numId w:val="2"/>
        </w:numPr>
        <w:spacing w:after="160" w:line="278" w:lineRule="auto"/>
      </w:pPr>
      <w:r w:rsidRPr="005D3348">
        <w:t xml:space="preserve">Monitor cost control, value for money, and financial performance of the </w:t>
      </w:r>
      <w:r>
        <w:t>Provider</w:t>
      </w:r>
      <w:r w:rsidRPr="005D3348">
        <w:t>.</w:t>
      </w:r>
    </w:p>
    <w:p w14:paraId="07D570CA" w14:textId="36902931" w:rsidR="00C85874" w:rsidRDefault="00C85874" w:rsidP="00C85874">
      <w:pPr>
        <w:numPr>
          <w:ilvl w:val="0"/>
          <w:numId w:val="2"/>
        </w:numPr>
        <w:spacing w:after="160" w:line="278" w:lineRule="auto"/>
      </w:pPr>
      <w:r w:rsidRPr="005D3348">
        <w:t xml:space="preserve">Act as an effective interface between the </w:t>
      </w:r>
      <w:r>
        <w:t xml:space="preserve">Board of Directors and the Provider. </w:t>
      </w:r>
    </w:p>
    <w:p w14:paraId="4720EA5B" w14:textId="0CACC711" w:rsidR="00896A6D" w:rsidRPr="005D3348" w:rsidRDefault="00896A6D" w:rsidP="00C85874">
      <w:pPr>
        <w:numPr>
          <w:ilvl w:val="0"/>
          <w:numId w:val="2"/>
        </w:numPr>
        <w:spacing w:after="160" w:line="278" w:lineRule="auto"/>
      </w:pPr>
      <w:r>
        <w:t xml:space="preserve">Responsible for managing and coordinating the maintenance, servicing and compliance of the multi-storey car park </w:t>
      </w:r>
      <w:r w:rsidR="00362171">
        <w:t>that forms</w:t>
      </w:r>
      <w:r>
        <w:t xml:space="preserve"> part of the development. </w:t>
      </w:r>
    </w:p>
    <w:p w14:paraId="2254A62A" w14:textId="77777777" w:rsidR="00C85874" w:rsidRPr="005D3348" w:rsidRDefault="00C85874" w:rsidP="00C85874">
      <w:pPr>
        <w:numPr>
          <w:ilvl w:val="0"/>
          <w:numId w:val="2"/>
        </w:numPr>
        <w:spacing w:after="160" w:line="278" w:lineRule="auto"/>
      </w:pPr>
      <w:r w:rsidRPr="005D3348">
        <w:t>Support asset management objectives by aligning property management delivery with long-term investment strategy.</w:t>
      </w:r>
    </w:p>
    <w:p w14:paraId="24775640" w14:textId="77777777" w:rsidR="00C85874" w:rsidRPr="005D3348" w:rsidRDefault="00C85874" w:rsidP="00C85874">
      <w:pPr>
        <w:numPr>
          <w:ilvl w:val="0"/>
          <w:numId w:val="2"/>
        </w:numPr>
        <w:spacing w:after="160" w:line="278" w:lineRule="auto"/>
      </w:pPr>
      <w:r w:rsidRPr="005D3348">
        <w:t>Manage escalations and resident-related issues at a strategic level.</w:t>
      </w:r>
    </w:p>
    <w:p w14:paraId="491FF28E" w14:textId="695B9CE2" w:rsidR="006A6ABD" w:rsidRDefault="006A6ABD" w:rsidP="00D865F9">
      <w:pPr>
        <w:tabs>
          <w:tab w:val="left" w:pos="540"/>
          <w:tab w:val="left" w:pos="3060"/>
        </w:tabs>
        <w:ind w:left="540" w:hanging="540"/>
      </w:pPr>
    </w:p>
    <w:p w14:paraId="69A91743" w14:textId="77777777" w:rsidR="006A6ABD" w:rsidRDefault="006A6ABD" w:rsidP="006A6ABD">
      <w:pPr>
        <w:tabs>
          <w:tab w:val="left" w:pos="540"/>
          <w:tab w:val="left" w:pos="3060"/>
        </w:tabs>
      </w:pPr>
    </w:p>
    <w:p w14:paraId="16EE51D7" w14:textId="77777777" w:rsidR="006A6ABD" w:rsidRDefault="006A6ABD" w:rsidP="006A6ABD">
      <w:pPr>
        <w:tabs>
          <w:tab w:val="left" w:pos="540"/>
          <w:tab w:val="left" w:pos="3060"/>
        </w:tabs>
        <w:ind w:left="540" w:hanging="540"/>
      </w:pPr>
    </w:p>
    <w:p w14:paraId="726B7AA3" w14:textId="0B502676" w:rsidR="002C66A6" w:rsidRDefault="002C66A6" w:rsidP="002C66A6">
      <w:pPr>
        <w:pStyle w:val="ListParagraph"/>
        <w:numPr>
          <w:ilvl w:val="0"/>
          <w:numId w:val="3"/>
        </w:numPr>
        <w:tabs>
          <w:tab w:val="left" w:pos="540"/>
          <w:tab w:val="left" w:pos="3060"/>
        </w:tabs>
        <w:rPr>
          <w:b/>
        </w:rPr>
      </w:pPr>
      <w:r>
        <w:rPr>
          <w:b/>
        </w:rPr>
        <w:t xml:space="preserve"> </w:t>
      </w:r>
      <w:r w:rsidR="006A6ABD" w:rsidRPr="002C66A6">
        <w:rPr>
          <w:b/>
        </w:rPr>
        <w:t>General</w:t>
      </w:r>
    </w:p>
    <w:p w14:paraId="60242C35" w14:textId="77777777" w:rsidR="002C66A6" w:rsidRPr="002C66A6" w:rsidRDefault="002C66A6" w:rsidP="002C66A6">
      <w:pPr>
        <w:pStyle w:val="ListParagraph"/>
        <w:tabs>
          <w:tab w:val="left" w:pos="540"/>
          <w:tab w:val="left" w:pos="3060"/>
        </w:tabs>
        <w:ind w:left="900"/>
        <w:rPr>
          <w:b/>
        </w:rPr>
      </w:pPr>
    </w:p>
    <w:p w14:paraId="383C9FE7" w14:textId="685FE59E" w:rsidR="00DD0389" w:rsidRPr="002C66A6" w:rsidRDefault="00DD0389" w:rsidP="002C66A6">
      <w:pPr>
        <w:numPr>
          <w:ilvl w:val="0"/>
          <w:numId w:val="2"/>
        </w:numPr>
        <w:spacing w:after="160" w:line="278" w:lineRule="auto"/>
      </w:pPr>
      <w:r>
        <w:t>To carry out such other duties as may be required of you, commensurate with the grade and level of responsibility, as directed by management.</w:t>
      </w:r>
    </w:p>
    <w:p w14:paraId="1186B0B8" w14:textId="69E44C3A" w:rsidR="00DD0389" w:rsidRPr="002C66A6" w:rsidRDefault="00DD0389" w:rsidP="002C66A6">
      <w:pPr>
        <w:numPr>
          <w:ilvl w:val="0"/>
          <w:numId w:val="2"/>
        </w:numPr>
        <w:spacing w:after="160" w:line="278" w:lineRule="auto"/>
      </w:pPr>
      <w:r w:rsidRPr="002C66A6">
        <w:t>The post holder will carry out all duties and activities having regard to the provisions of the Health and Safety at Work Act 1974, and in accordance with any instructions from senior members of staff under that Act or any</w:t>
      </w:r>
      <w:r w:rsidR="00D12F8E" w:rsidRPr="002C66A6">
        <w:t xml:space="preserve"> </w:t>
      </w:r>
      <w:r w:rsidRPr="002C66A6">
        <w:t>Codes of Practice or Procedures.</w:t>
      </w:r>
    </w:p>
    <w:p w14:paraId="3E834663" w14:textId="03D61EE0" w:rsidR="00DD0389" w:rsidRPr="002C66A6" w:rsidRDefault="00DD0389" w:rsidP="002C66A6">
      <w:pPr>
        <w:numPr>
          <w:ilvl w:val="0"/>
          <w:numId w:val="2"/>
        </w:numPr>
        <w:spacing w:after="160" w:line="278" w:lineRule="auto"/>
      </w:pPr>
      <w:r w:rsidRPr="002C66A6">
        <w:t>The post holder must ensure that data quality and integrity is maintained and that data is processed in accordance with council policy, the Data Protection Act, the Freedom of Information Act and other legislation</w:t>
      </w:r>
    </w:p>
    <w:p w14:paraId="4D301AE2" w14:textId="4603DDD2" w:rsidR="00DD0389" w:rsidRPr="002C66A6" w:rsidRDefault="00DD0389" w:rsidP="002C66A6">
      <w:pPr>
        <w:numPr>
          <w:ilvl w:val="0"/>
          <w:numId w:val="2"/>
        </w:numPr>
        <w:spacing w:after="160" w:line="278" w:lineRule="auto"/>
      </w:pPr>
      <w:r w:rsidRPr="002C66A6">
        <w:t xml:space="preserve">A commitment to excellent customer service and the values of the </w:t>
      </w:r>
      <w:r w:rsidR="00417BA3" w:rsidRPr="002C66A6">
        <w:t>organisation</w:t>
      </w:r>
      <w:r w:rsidRPr="002C66A6">
        <w:t>.</w:t>
      </w:r>
    </w:p>
    <w:p w14:paraId="49841E8D" w14:textId="77777777" w:rsidR="00DD0389" w:rsidRPr="00DB6157" w:rsidRDefault="00DD0389" w:rsidP="00DD0389"/>
    <w:p w14:paraId="6C94E7E1" w14:textId="77777777" w:rsidR="006A6ABD" w:rsidRDefault="006A6ABD" w:rsidP="006A6ABD">
      <w:pPr>
        <w:tabs>
          <w:tab w:val="left" w:pos="540"/>
          <w:tab w:val="left" w:pos="3060"/>
        </w:tabs>
        <w:ind w:left="540" w:hanging="540"/>
      </w:pPr>
    </w:p>
    <w:p w14:paraId="279088B8" w14:textId="77777777" w:rsidR="006A6ABD" w:rsidRDefault="006A6ABD" w:rsidP="006A6ABD">
      <w:pPr>
        <w:tabs>
          <w:tab w:val="left" w:pos="540"/>
          <w:tab w:val="left" w:pos="3060"/>
        </w:tabs>
        <w:jc w:val="center"/>
      </w:pPr>
    </w:p>
    <w:p w14:paraId="6ED9B68F" w14:textId="77777777" w:rsidR="006A6ABD" w:rsidRDefault="006A6ABD" w:rsidP="006A6ABD">
      <w:pPr>
        <w:tabs>
          <w:tab w:val="left" w:pos="540"/>
          <w:tab w:val="left" w:pos="3060"/>
        </w:tabs>
        <w:jc w:val="center"/>
      </w:pPr>
    </w:p>
    <w:p w14:paraId="313D833C" w14:textId="77777777" w:rsidR="006A6ABD" w:rsidRDefault="006A6ABD" w:rsidP="006A6ABD">
      <w:pPr>
        <w:tabs>
          <w:tab w:val="left" w:pos="540"/>
          <w:tab w:val="left" w:pos="3060"/>
        </w:tabs>
        <w:jc w:val="center"/>
      </w:pPr>
    </w:p>
    <w:p w14:paraId="1FE0753B" w14:textId="77777777" w:rsidR="006A6ABD" w:rsidRDefault="006A6ABD" w:rsidP="006A6ABD">
      <w:pPr>
        <w:tabs>
          <w:tab w:val="left" w:pos="540"/>
          <w:tab w:val="left" w:pos="3060"/>
        </w:tabs>
        <w:jc w:val="center"/>
      </w:pPr>
    </w:p>
    <w:p w14:paraId="00FE2983" w14:textId="77777777" w:rsidR="006A6ABD" w:rsidRDefault="006A6ABD" w:rsidP="006A6ABD">
      <w:pPr>
        <w:tabs>
          <w:tab w:val="left" w:pos="540"/>
          <w:tab w:val="left" w:pos="3060"/>
        </w:tabs>
        <w:jc w:val="center"/>
      </w:pPr>
    </w:p>
    <w:p w14:paraId="318B283C" w14:textId="77777777" w:rsidR="006A6ABD" w:rsidRDefault="006A6ABD" w:rsidP="006A6ABD">
      <w:pPr>
        <w:tabs>
          <w:tab w:val="left" w:pos="540"/>
          <w:tab w:val="left" w:pos="3060"/>
        </w:tabs>
        <w:jc w:val="center"/>
      </w:pPr>
    </w:p>
    <w:p w14:paraId="42934EA1" w14:textId="77777777" w:rsidR="00A13704" w:rsidRDefault="00A13704" w:rsidP="006A6ABD">
      <w:pPr>
        <w:tabs>
          <w:tab w:val="left" w:pos="540"/>
          <w:tab w:val="left" w:pos="3060"/>
        </w:tabs>
        <w:jc w:val="center"/>
      </w:pPr>
    </w:p>
    <w:p w14:paraId="283C4ABF" w14:textId="77777777" w:rsidR="00A13704" w:rsidRDefault="00A13704" w:rsidP="006A6ABD">
      <w:pPr>
        <w:tabs>
          <w:tab w:val="left" w:pos="540"/>
          <w:tab w:val="left" w:pos="3060"/>
        </w:tabs>
        <w:jc w:val="center"/>
      </w:pPr>
    </w:p>
    <w:p w14:paraId="2C0C51DC" w14:textId="77777777" w:rsidR="00A13704" w:rsidRDefault="00A13704" w:rsidP="006A6ABD">
      <w:pPr>
        <w:tabs>
          <w:tab w:val="left" w:pos="540"/>
          <w:tab w:val="left" w:pos="3060"/>
        </w:tabs>
        <w:jc w:val="center"/>
      </w:pPr>
    </w:p>
    <w:p w14:paraId="6FAD41E8" w14:textId="77777777" w:rsidR="006A6ABD" w:rsidRDefault="006A6ABD" w:rsidP="006A6ABD">
      <w:pPr>
        <w:tabs>
          <w:tab w:val="left" w:pos="540"/>
          <w:tab w:val="left" w:pos="3060"/>
        </w:tabs>
        <w:jc w:val="center"/>
      </w:pPr>
    </w:p>
    <w:p w14:paraId="64C64B14" w14:textId="77777777" w:rsidR="006A6ABD" w:rsidRDefault="006A6ABD" w:rsidP="00DD0389">
      <w:pPr>
        <w:tabs>
          <w:tab w:val="left" w:pos="283"/>
          <w:tab w:val="left" w:pos="993"/>
        </w:tabs>
        <w:spacing w:before="120" w:after="240" w:line="238" w:lineRule="exact"/>
      </w:pPr>
    </w:p>
    <w:p w14:paraId="6FAC6E30" w14:textId="77777777" w:rsidR="00D865F9" w:rsidRDefault="00D865F9" w:rsidP="00DD0389">
      <w:pPr>
        <w:tabs>
          <w:tab w:val="left" w:pos="283"/>
          <w:tab w:val="left" w:pos="993"/>
        </w:tabs>
        <w:spacing w:before="120" w:after="240" w:line="238" w:lineRule="exact"/>
      </w:pPr>
    </w:p>
    <w:p w14:paraId="7CAA63B8" w14:textId="77777777" w:rsidR="00D865F9" w:rsidRDefault="00D865F9" w:rsidP="00DD0389">
      <w:pPr>
        <w:tabs>
          <w:tab w:val="left" w:pos="283"/>
          <w:tab w:val="left" w:pos="993"/>
        </w:tabs>
        <w:spacing w:before="120" w:after="240" w:line="238" w:lineRule="exact"/>
      </w:pPr>
    </w:p>
    <w:p w14:paraId="0A1D8D48" w14:textId="77777777" w:rsidR="00D865F9" w:rsidRDefault="00D865F9" w:rsidP="00DD0389">
      <w:pPr>
        <w:tabs>
          <w:tab w:val="left" w:pos="283"/>
          <w:tab w:val="left" w:pos="993"/>
        </w:tabs>
        <w:spacing w:before="120" w:after="240" w:line="238" w:lineRule="exact"/>
      </w:pPr>
    </w:p>
    <w:p w14:paraId="66E6BB3C" w14:textId="77777777" w:rsidR="00D865F9" w:rsidRDefault="00D865F9" w:rsidP="00DD0389">
      <w:pPr>
        <w:tabs>
          <w:tab w:val="left" w:pos="283"/>
          <w:tab w:val="left" w:pos="993"/>
        </w:tabs>
        <w:spacing w:before="120" w:after="240" w:line="238" w:lineRule="exact"/>
      </w:pPr>
    </w:p>
    <w:p w14:paraId="2EC5849D" w14:textId="77777777" w:rsidR="00D91CFD" w:rsidRDefault="00D91CFD" w:rsidP="00DD0389">
      <w:pPr>
        <w:tabs>
          <w:tab w:val="left" w:pos="283"/>
          <w:tab w:val="left" w:pos="993"/>
        </w:tabs>
        <w:spacing w:before="120" w:after="240" w:line="238" w:lineRule="exact"/>
      </w:pPr>
    </w:p>
    <w:p w14:paraId="263B2A64" w14:textId="77777777" w:rsidR="006A6ABD" w:rsidRPr="00D0678F" w:rsidRDefault="006A6ABD" w:rsidP="006A6ABD">
      <w:pPr>
        <w:tabs>
          <w:tab w:val="left" w:pos="283"/>
          <w:tab w:val="left" w:pos="993"/>
        </w:tabs>
        <w:spacing w:before="120" w:after="240" w:line="238" w:lineRule="exact"/>
        <w:ind w:left="998" w:hanging="998"/>
        <w:rPr>
          <w:b/>
          <w:szCs w:val="20"/>
        </w:rPr>
      </w:pPr>
      <w:r w:rsidRPr="00D0678F">
        <w:rPr>
          <w:b/>
          <w:szCs w:val="20"/>
        </w:rPr>
        <w:lastRenderedPageBreak/>
        <w:t>Person specification</w:t>
      </w:r>
    </w:p>
    <w:tbl>
      <w:tblPr>
        <w:tblW w:w="5287"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601"/>
        <w:gridCol w:w="4265"/>
        <w:gridCol w:w="2853"/>
      </w:tblGrid>
      <w:tr w:rsidR="006A6ABD" w:rsidRPr="00D0678F" w14:paraId="07273D9B" w14:textId="77777777" w:rsidTr="008208BF">
        <w:trPr>
          <w:trHeight w:val="316"/>
          <w:tblCellSpacing w:w="0" w:type="dxa"/>
        </w:trPr>
        <w:tc>
          <w:tcPr>
            <w:tcW w:w="1338" w:type="pct"/>
            <w:tcBorders>
              <w:top w:val="outset" w:sz="6" w:space="0" w:color="auto"/>
              <w:left w:val="outset" w:sz="6" w:space="0" w:color="auto"/>
              <w:bottom w:val="outset" w:sz="6" w:space="0" w:color="auto"/>
              <w:right w:val="outset" w:sz="6" w:space="0" w:color="auto"/>
            </w:tcBorders>
            <w:vAlign w:val="center"/>
          </w:tcPr>
          <w:p w14:paraId="46D5F5ED" w14:textId="77777777" w:rsidR="006A6ABD" w:rsidRPr="00D0678F" w:rsidRDefault="006A6ABD" w:rsidP="008208BF">
            <w:pPr>
              <w:spacing w:after="240"/>
              <w:rPr>
                <w:rFonts w:cs="Arial"/>
                <w:b/>
              </w:rPr>
            </w:pPr>
            <w:r w:rsidRPr="00D0678F">
              <w:rPr>
                <w:rFonts w:cs="Arial"/>
                <w:b/>
                <w:bCs/>
              </w:rPr>
              <w:t>Characteristic</w:t>
            </w:r>
          </w:p>
        </w:tc>
        <w:tc>
          <w:tcPr>
            <w:tcW w:w="3662" w:type="pct"/>
            <w:gridSpan w:val="2"/>
            <w:tcBorders>
              <w:top w:val="outset" w:sz="6" w:space="0" w:color="auto"/>
              <w:left w:val="outset" w:sz="6" w:space="0" w:color="auto"/>
              <w:bottom w:val="outset" w:sz="6" w:space="0" w:color="auto"/>
              <w:right w:val="outset" w:sz="6" w:space="0" w:color="auto"/>
            </w:tcBorders>
            <w:vAlign w:val="center"/>
          </w:tcPr>
          <w:p w14:paraId="19485666" w14:textId="77777777" w:rsidR="006A6ABD" w:rsidRPr="00D0678F" w:rsidRDefault="006A6ABD" w:rsidP="008208BF">
            <w:pPr>
              <w:spacing w:after="240"/>
              <w:rPr>
                <w:rFonts w:cs="Arial"/>
                <w:b/>
              </w:rPr>
            </w:pPr>
            <w:r w:rsidRPr="00D0678F">
              <w:rPr>
                <w:rFonts w:cs="Arial"/>
                <w:b/>
                <w:bCs/>
              </w:rPr>
              <w:t>Specification</w:t>
            </w:r>
          </w:p>
        </w:tc>
      </w:tr>
      <w:tr w:rsidR="006A6ABD" w:rsidRPr="00D0678F" w14:paraId="24AA4DDC" w14:textId="77777777" w:rsidTr="008208BF">
        <w:trPr>
          <w:trHeight w:val="410"/>
          <w:tblCellSpacing w:w="0" w:type="dxa"/>
        </w:trPr>
        <w:tc>
          <w:tcPr>
            <w:tcW w:w="1338" w:type="pct"/>
            <w:tcBorders>
              <w:top w:val="outset" w:sz="6" w:space="0" w:color="auto"/>
              <w:left w:val="outset" w:sz="6" w:space="0" w:color="auto"/>
              <w:bottom w:val="outset" w:sz="6" w:space="0" w:color="auto"/>
              <w:right w:val="outset" w:sz="6" w:space="0" w:color="auto"/>
            </w:tcBorders>
            <w:vAlign w:val="center"/>
          </w:tcPr>
          <w:p w14:paraId="07731FC8" w14:textId="77777777" w:rsidR="006A6ABD" w:rsidRPr="00D0678F" w:rsidRDefault="006A6ABD" w:rsidP="008208BF">
            <w:pPr>
              <w:rPr>
                <w:rFonts w:cs="Arial"/>
                <w:b/>
                <w:bCs/>
              </w:rPr>
            </w:pPr>
          </w:p>
        </w:tc>
        <w:tc>
          <w:tcPr>
            <w:tcW w:w="2194" w:type="pct"/>
            <w:tcBorders>
              <w:top w:val="outset" w:sz="6" w:space="0" w:color="auto"/>
              <w:left w:val="outset" w:sz="6" w:space="0" w:color="auto"/>
              <w:bottom w:val="outset" w:sz="6" w:space="0" w:color="auto"/>
              <w:right w:val="outset" w:sz="6" w:space="0" w:color="auto"/>
            </w:tcBorders>
            <w:vAlign w:val="center"/>
          </w:tcPr>
          <w:p w14:paraId="6696DF2C" w14:textId="77777777" w:rsidR="006A6ABD" w:rsidRPr="00D0678F" w:rsidRDefault="006A6ABD" w:rsidP="008208BF">
            <w:pPr>
              <w:spacing w:after="240"/>
              <w:rPr>
                <w:rFonts w:cs="Arial"/>
                <w:b/>
              </w:rPr>
            </w:pPr>
            <w:r w:rsidRPr="00D0678F">
              <w:rPr>
                <w:rFonts w:cs="Arial"/>
                <w:b/>
                <w:bCs/>
              </w:rPr>
              <w:t>Essential</w:t>
            </w:r>
          </w:p>
        </w:tc>
        <w:tc>
          <w:tcPr>
            <w:tcW w:w="1469" w:type="pct"/>
            <w:tcBorders>
              <w:top w:val="outset" w:sz="6" w:space="0" w:color="auto"/>
              <w:left w:val="outset" w:sz="6" w:space="0" w:color="auto"/>
              <w:bottom w:val="outset" w:sz="6" w:space="0" w:color="auto"/>
              <w:right w:val="outset" w:sz="6" w:space="0" w:color="auto"/>
            </w:tcBorders>
            <w:vAlign w:val="center"/>
          </w:tcPr>
          <w:p w14:paraId="44FC7892" w14:textId="77777777" w:rsidR="006A6ABD" w:rsidRPr="00D0678F" w:rsidRDefault="006A6ABD" w:rsidP="008208BF">
            <w:pPr>
              <w:spacing w:after="240"/>
              <w:rPr>
                <w:rFonts w:cs="Arial"/>
                <w:b/>
              </w:rPr>
            </w:pPr>
            <w:r w:rsidRPr="00D0678F">
              <w:rPr>
                <w:rFonts w:cs="Arial"/>
                <w:b/>
                <w:bCs/>
              </w:rPr>
              <w:t>Desirable</w:t>
            </w:r>
          </w:p>
        </w:tc>
      </w:tr>
      <w:tr w:rsidR="006A6ABD" w:rsidRPr="00D0678F" w14:paraId="3FE22704" w14:textId="77777777" w:rsidTr="008208BF">
        <w:trPr>
          <w:tblCellSpacing w:w="0" w:type="dxa"/>
        </w:trPr>
        <w:tc>
          <w:tcPr>
            <w:tcW w:w="1338" w:type="pct"/>
            <w:tcBorders>
              <w:top w:val="outset" w:sz="6" w:space="0" w:color="auto"/>
              <w:left w:val="outset" w:sz="6" w:space="0" w:color="auto"/>
              <w:bottom w:val="outset" w:sz="6" w:space="0" w:color="auto"/>
              <w:right w:val="outset" w:sz="6" w:space="0" w:color="auto"/>
            </w:tcBorders>
          </w:tcPr>
          <w:p w14:paraId="3479BC13" w14:textId="77777777" w:rsidR="006A6ABD" w:rsidRPr="00D0678F" w:rsidRDefault="006A6ABD" w:rsidP="008208BF">
            <w:pPr>
              <w:spacing w:after="240"/>
              <w:rPr>
                <w:rFonts w:cs="Arial"/>
              </w:rPr>
            </w:pPr>
            <w:r w:rsidRPr="00D0678F">
              <w:rPr>
                <w:rFonts w:cs="Arial"/>
                <w:bCs/>
              </w:rPr>
              <w:t>Skills / Abilities</w:t>
            </w:r>
            <w:r w:rsidRPr="00D0678F">
              <w:rPr>
                <w:rFonts w:cs="Arial"/>
                <w:bCs/>
              </w:rPr>
              <w:br/>
              <w:t>(Specific skills and abilities required to undertake the duties)</w:t>
            </w:r>
          </w:p>
        </w:tc>
        <w:tc>
          <w:tcPr>
            <w:tcW w:w="2194" w:type="pct"/>
            <w:tcBorders>
              <w:top w:val="outset" w:sz="6" w:space="0" w:color="auto"/>
              <w:left w:val="outset" w:sz="6" w:space="0" w:color="auto"/>
              <w:bottom w:val="outset" w:sz="6" w:space="0" w:color="auto"/>
              <w:right w:val="outset" w:sz="6" w:space="0" w:color="auto"/>
            </w:tcBorders>
          </w:tcPr>
          <w:p w14:paraId="4DCA3D22" w14:textId="4B9767CC" w:rsidR="0045316A" w:rsidRDefault="00EB29FB" w:rsidP="00CE4339">
            <w:pPr>
              <w:spacing w:before="120" w:after="120"/>
              <w:ind w:left="136"/>
              <w:rPr>
                <w:rFonts w:cs="Arial"/>
                <w:bCs/>
                <w:color w:val="000000"/>
              </w:rPr>
            </w:pPr>
            <w:r w:rsidRPr="005D3348">
              <w:t>Demonstrable commercial and contractual management expertise</w:t>
            </w:r>
          </w:p>
          <w:p w14:paraId="6B644EDC" w14:textId="323FD5C4" w:rsidR="00EB29FB" w:rsidRPr="005D3348" w:rsidRDefault="00EB29FB" w:rsidP="00EB29FB">
            <w:pPr>
              <w:spacing w:after="160" w:line="278" w:lineRule="auto"/>
            </w:pPr>
            <w:r>
              <w:t xml:space="preserve">  </w:t>
            </w:r>
            <w:r w:rsidRPr="005D3348">
              <w:t>Excellent stakeholder management and negotiation skills.</w:t>
            </w:r>
          </w:p>
          <w:p w14:paraId="67126892" w14:textId="26D02C6A" w:rsidR="00EB29FB" w:rsidRPr="00D0678F" w:rsidRDefault="00EB29FB" w:rsidP="00CE4339">
            <w:pPr>
              <w:spacing w:before="120" w:after="120"/>
              <w:ind w:left="136"/>
              <w:rPr>
                <w:rFonts w:cs="Arial"/>
                <w:bCs/>
                <w:color w:val="000000"/>
              </w:rPr>
            </w:pPr>
          </w:p>
        </w:tc>
        <w:tc>
          <w:tcPr>
            <w:tcW w:w="1469" w:type="pct"/>
            <w:tcBorders>
              <w:top w:val="outset" w:sz="6" w:space="0" w:color="auto"/>
              <w:left w:val="outset" w:sz="6" w:space="0" w:color="auto"/>
              <w:bottom w:val="outset" w:sz="6" w:space="0" w:color="auto"/>
              <w:right w:val="outset" w:sz="6" w:space="0" w:color="auto"/>
            </w:tcBorders>
          </w:tcPr>
          <w:p w14:paraId="24D7069A" w14:textId="77777777" w:rsidR="00EB29FB" w:rsidRPr="005D3348" w:rsidRDefault="00EB29FB" w:rsidP="00EB29FB">
            <w:pPr>
              <w:spacing w:after="160" w:line="278" w:lineRule="auto"/>
            </w:pPr>
            <w:r w:rsidRPr="005D3348">
              <w:t>Proven experience in client-side contract management within residential property or Build-to-Rent environments.</w:t>
            </w:r>
          </w:p>
          <w:p w14:paraId="4842A5DF" w14:textId="54A4C51C" w:rsidR="006A6ABD" w:rsidRPr="004E341D" w:rsidRDefault="006A6ABD" w:rsidP="008208BF">
            <w:pPr>
              <w:ind w:left="50"/>
              <w:rPr>
                <w:rFonts w:cs="Arial"/>
                <w:bCs/>
                <w:color w:val="F79646" w:themeColor="accent6"/>
              </w:rPr>
            </w:pPr>
          </w:p>
        </w:tc>
      </w:tr>
      <w:tr w:rsidR="006A6ABD" w:rsidRPr="00D0678F" w14:paraId="4386689D" w14:textId="77777777" w:rsidTr="008208BF">
        <w:trPr>
          <w:trHeight w:val="1918"/>
          <w:tblCellSpacing w:w="0" w:type="dxa"/>
        </w:trPr>
        <w:tc>
          <w:tcPr>
            <w:tcW w:w="1338" w:type="pct"/>
            <w:tcBorders>
              <w:top w:val="outset" w:sz="6" w:space="0" w:color="auto"/>
              <w:left w:val="outset" w:sz="6" w:space="0" w:color="auto"/>
              <w:bottom w:val="outset" w:sz="6" w:space="0" w:color="auto"/>
              <w:right w:val="outset" w:sz="6" w:space="0" w:color="auto"/>
            </w:tcBorders>
          </w:tcPr>
          <w:p w14:paraId="61FF9779" w14:textId="77777777" w:rsidR="006A6ABD" w:rsidRPr="00D0678F" w:rsidRDefault="006A6ABD" w:rsidP="008208BF">
            <w:pPr>
              <w:spacing w:after="240"/>
              <w:rPr>
                <w:rFonts w:cs="Arial"/>
              </w:rPr>
            </w:pPr>
            <w:r w:rsidRPr="00D0678F">
              <w:rPr>
                <w:rFonts w:cs="Arial"/>
                <w:bCs/>
              </w:rPr>
              <w:t>Knowledge</w:t>
            </w:r>
            <w:r w:rsidRPr="00D0678F">
              <w:rPr>
                <w:rFonts w:cs="Arial"/>
                <w:bCs/>
              </w:rPr>
              <w:br/>
              <w:t>Particular knowledge which will be necessary to perform the work effectively, (e.g. of specific legislation or regulations)</w:t>
            </w:r>
          </w:p>
        </w:tc>
        <w:tc>
          <w:tcPr>
            <w:tcW w:w="2194" w:type="pct"/>
            <w:tcBorders>
              <w:top w:val="outset" w:sz="6" w:space="0" w:color="auto"/>
              <w:left w:val="outset" w:sz="6" w:space="0" w:color="auto"/>
              <w:bottom w:val="outset" w:sz="6" w:space="0" w:color="auto"/>
              <w:right w:val="outset" w:sz="6" w:space="0" w:color="auto"/>
            </w:tcBorders>
          </w:tcPr>
          <w:p w14:paraId="25DC0C85" w14:textId="77777777" w:rsidR="006A6ABD" w:rsidRDefault="00EB29FB" w:rsidP="00A13704">
            <w:pPr>
              <w:ind w:left="136"/>
            </w:pPr>
            <w:r w:rsidRPr="005D3348">
              <w:t>Strong understanding of property management agreements and managing agent service delivery models</w:t>
            </w:r>
          </w:p>
          <w:p w14:paraId="2562E0B0" w14:textId="7E03D47A" w:rsidR="00EB29FB" w:rsidRPr="00D0678F" w:rsidRDefault="00EB29FB" w:rsidP="00EB29FB">
            <w:pPr>
              <w:spacing w:after="160" w:line="278" w:lineRule="auto"/>
              <w:rPr>
                <w:rFonts w:cs="Arial"/>
                <w:bCs/>
                <w:color w:val="000000"/>
              </w:rPr>
            </w:pPr>
          </w:p>
        </w:tc>
        <w:tc>
          <w:tcPr>
            <w:tcW w:w="1469" w:type="pct"/>
            <w:tcBorders>
              <w:top w:val="outset" w:sz="6" w:space="0" w:color="auto"/>
              <w:left w:val="outset" w:sz="6" w:space="0" w:color="auto"/>
              <w:bottom w:val="outset" w:sz="6" w:space="0" w:color="auto"/>
              <w:right w:val="outset" w:sz="6" w:space="0" w:color="auto"/>
            </w:tcBorders>
          </w:tcPr>
          <w:p w14:paraId="136D4CD4" w14:textId="77777777" w:rsidR="006A6ABD" w:rsidRDefault="00EB29FB" w:rsidP="0045316A">
            <w:pPr>
              <w:spacing w:after="100" w:afterAutospacing="1"/>
              <w:rPr>
                <w:rFonts w:cs="Arial"/>
                <w:bCs/>
                <w:color w:val="000000"/>
              </w:rPr>
            </w:pPr>
            <w:r>
              <w:rPr>
                <w:rFonts w:cs="Arial"/>
                <w:bCs/>
                <w:color w:val="000000"/>
              </w:rPr>
              <w:t>Building Safety Act 2022</w:t>
            </w:r>
          </w:p>
          <w:p w14:paraId="63291564" w14:textId="77777777" w:rsidR="00601134" w:rsidRPr="005D3348" w:rsidRDefault="00601134" w:rsidP="00601134">
            <w:pPr>
              <w:spacing w:after="160" w:line="278" w:lineRule="auto"/>
            </w:pPr>
            <w:r w:rsidRPr="005D3348">
              <w:t>Knowledge of UK residential property regulation and building safety requirements.</w:t>
            </w:r>
          </w:p>
          <w:p w14:paraId="5D5290B5" w14:textId="577D1A64" w:rsidR="00601134" w:rsidRPr="00D0678F" w:rsidRDefault="00601134" w:rsidP="0045316A">
            <w:pPr>
              <w:spacing w:after="100" w:afterAutospacing="1"/>
              <w:rPr>
                <w:rFonts w:cs="Arial"/>
                <w:bCs/>
                <w:color w:val="000000"/>
              </w:rPr>
            </w:pPr>
          </w:p>
        </w:tc>
      </w:tr>
      <w:tr w:rsidR="006A6ABD" w:rsidRPr="00D0678F" w14:paraId="3169E9FE" w14:textId="77777777" w:rsidTr="008208BF">
        <w:trPr>
          <w:tblCellSpacing w:w="0" w:type="dxa"/>
        </w:trPr>
        <w:tc>
          <w:tcPr>
            <w:tcW w:w="1338" w:type="pct"/>
            <w:tcBorders>
              <w:top w:val="outset" w:sz="6" w:space="0" w:color="auto"/>
              <w:left w:val="outset" w:sz="6" w:space="0" w:color="auto"/>
              <w:bottom w:val="outset" w:sz="6" w:space="0" w:color="auto"/>
              <w:right w:val="outset" w:sz="6" w:space="0" w:color="auto"/>
            </w:tcBorders>
          </w:tcPr>
          <w:p w14:paraId="1668285A" w14:textId="77777777" w:rsidR="006A6ABD" w:rsidRPr="00D0678F" w:rsidRDefault="006A6ABD" w:rsidP="008208BF">
            <w:pPr>
              <w:spacing w:after="120"/>
              <w:rPr>
                <w:rFonts w:cs="Arial"/>
              </w:rPr>
            </w:pPr>
            <w:r w:rsidRPr="00D0678F">
              <w:rPr>
                <w:rFonts w:cs="Arial"/>
                <w:bCs/>
              </w:rPr>
              <w:t xml:space="preserve">Qualification Training </w:t>
            </w:r>
            <w:r w:rsidRPr="00D0678F">
              <w:rPr>
                <w:rFonts w:cs="Arial"/>
                <w:bCs/>
              </w:rPr>
              <w:br/>
              <w:t>(Education/vocational qualifications and other training).</w:t>
            </w:r>
          </w:p>
        </w:tc>
        <w:tc>
          <w:tcPr>
            <w:tcW w:w="2194" w:type="pct"/>
            <w:tcBorders>
              <w:top w:val="outset" w:sz="6" w:space="0" w:color="auto"/>
              <w:left w:val="outset" w:sz="6" w:space="0" w:color="auto"/>
              <w:bottom w:val="outset" w:sz="6" w:space="0" w:color="auto"/>
              <w:right w:val="outset" w:sz="6" w:space="0" w:color="auto"/>
            </w:tcBorders>
          </w:tcPr>
          <w:p w14:paraId="21A1B760" w14:textId="77777777" w:rsidR="00020D69" w:rsidRPr="005D3348" w:rsidRDefault="00020D69" w:rsidP="00020D69">
            <w:pPr>
              <w:spacing w:after="160" w:line="278" w:lineRule="auto"/>
            </w:pPr>
            <w:r w:rsidRPr="005D3348">
              <w:t>Degree or equivalent professional qualification (e.g. Real Estate, Property, Housing, Construction Management).</w:t>
            </w:r>
          </w:p>
          <w:p w14:paraId="34E0CBF4" w14:textId="04FA1705" w:rsidR="006A6ABD" w:rsidRPr="00D0678F" w:rsidRDefault="006A6ABD" w:rsidP="008208BF">
            <w:pPr>
              <w:spacing w:after="100" w:afterAutospacing="1"/>
              <w:ind w:left="135"/>
              <w:rPr>
                <w:rFonts w:cs="Arial"/>
                <w:bCs/>
                <w:color w:val="000000"/>
              </w:rPr>
            </w:pPr>
          </w:p>
        </w:tc>
        <w:tc>
          <w:tcPr>
            <w:tcW w:w="1469" w:type="pct"/>
            <w:tcBorders>
              <w:top w:val="outset" w:sz="6" w:space="0" w:color="auto"/>
              <w:left w:val="outset" w:sz="6" w:space="0" w:color="auto"/>
              <w:bottom w:val="outset" w:sz="6" w:space="0" w:color="auto"/>
              <w:right w:val="outset" w:sz="6" w:space="0" w:color="auto"/>
            </w:tcBorders>
          </w:tcPr>
          <w:p w14:paraId="6FE63F29" w14:textId="77777777" w:rsidR="00020D69" w:rsidRPr="005D3348" w:rsidRDefault="00020D69" w:rsidP="00020D69">
            <w:pPr>
              <w:spacing w:after="160" w:line="278" w:lineRule="auto"/>
            </w:pPr>
            <w:r w:rsidRPr="005D3348">
              <w:t>Professional membership (e.g. RICS, IRPM, CIH) desirable.</w:t>
            </w:r>
          </w:p>
          <w:p w14:paraId="3FAED68E" w14:textId="2C7AFAF3" w:rsidR="000E5407" w:rsidRPr="00D0678F" w:rsidRDefault="000E5407" w:rsidP="00A13704">
            <w:pPr>
              <w:spacing w:after="100" w:afterAutospacing="1"/>
              <w:ind w:left="50"/>
              <w:rPr>
                <w:rFonts w:cs="Arial"/>
                <w:bCs/>
                <w:color w:val="000000"/>
              </w:rPr>
            </w:pPr>
          </w:p>
        </w:tc>
      </w:tr>
      <w:tr w:rsidR="006A6ABD" w:rsidRPr="00D0678F" w14:paraId="2133D179" w14:textId="77777777" w:rsidTr="008208BF">
        <w:trPr>
          <w:tblCellSpacing w:w="0" w:type="dxa"/>
        </w:trPr>
        <w:tc>
          <w:tcPr>
            <w:tcW w:w="1338" w:type="pct"/>
            <w:tcBorders>
              <w:top w:val="outset" w:sz="6" w:space="0" w:color="auto"/>
              <w:left w:val="outset" w:sz="6" w:space="0" w:color="auto"/>
              <w:bottom w:val="outset" w:sz="6" w:space="0" w:color="auto"/>
              <w:right w:val="outset" w:sz="6" w:space="0" w:color="auto"/>
            </w:tcBorders>
          </w:tcPr>
          <w:p w14:paraId="47427809" w14:textId="77777777" w:rsidR="006A6ABD" w:rsidRPr="00D0678F" w:rsidRDefault="006A6ABD" w:rsidP="008208BF">
            <w:pPr>
              <w:spacing w:after="240"/>
              <w:rPr>
                <w:rFonts w:cs="Arial"/>
              </w:rPr>
            </w:pPr>
            <w:r w:rsidRPr="00D0678F">
              <w:rPr>
                <w:rFonts w:cs="Arial"/>
                <w:bCs/>
              </w:rPr>
              <w:t xml:space="preserve">Experience </w:t>
            </w:r>
            <w:r w:rsidRPr="00D0678F">
              <w:rPr>
                <w:rFonts w:cs="Arial"/>
                <w:bCs/>
              </w:rPr>
              <w:br/>
              <w:t>(Level and type of previous experience).</w:t>
            </w:r>
          </w:p>
        </w:tc>
        <w:tc>
          <w:tcPr>
            <w:tcW w:w="2194" w:type="pct"/>
            <w:tcBorders>
              <w:top w:val="outset" w:sz="6" w:space="0" w:color="auto"/>
              <w:left w:val="outset" w:sz="6" w:space="0" w:color="auto"/>
              <w:bottom w:val="outset" w:sz="6" w:space="0" w:color="auto"/>
              <w:right w:val="outset" w:sz="6" w:space="0" w:color="auto"/>
            </w:tcBorders>
          </w:tcPr>
          <w:p w14:paraId="4CCF7419" w14:textId="77777777" w:rsidR="00EB29FB" w:rsidRPr="005D3348" w:rsidRDefault="00EB29FB" w:rsidP="00EB29FB">
            <w:pPr>
              <w:spacing w:after="160" w:line="278" w:lineRule="auto"/>
            </w:pPr>
            <w:r w:rsidRPr="005D3348">
              <w:t>Experience managing KPIs, SLAs, and performance frameworks.</w:t>
            </w:r>
          </w:p>
          <w:p w14:paraId="135F30B8" w14:textId="77777777" w:rsidR="006A6ABD" w:rsidRPr="00D0678F" w:rsidRDefault="006A6ABD" w:rsidP="00DD0389">
            <w:pPr>
              <w:ind w:left="136"/>
              <w:rPr>
                <w:rFonts w:cs="Arial"/>
                <w:bCs/>
                <w:color w:val="000000"/>
              </w:rPr>
            </w:pPr>
          </w:p>
        </w:tc>
        <w:tc>
          <w:tcPr>
            <w:tcW w:w="1469" w:type="pct"/>
            <w:tcBorders>
              <w:top w:val="outset" w:sz="6" w:space="0" w:color="auto"/>
              <w:left w:val="outset" w:sz="6" w:space="0" w:color="auto"/>
              <w:bottom w:val="outset" w:sz="6" w:space="0" w:color="auto"/>
              <w:right w:val="outset" w:sz="6" w:space="0" w:color="auto"/>
            </w:tcBorders>
          </w:tcPr>
          <w:p w14:paraId="4C3F5A09" w14:textId="77777777" w:rsidR="00601134" w:rsidRDefault="00601134" w:rsidP="00601134">
            <w:pPr>
              <w:spacing w:after="160" w:line="278" w:lineRule="auto"/>
            </w:pPr>
            <w:r w:rsidRPr="005D3348">
              <w:t xml:space="preserve">Experience in </w:t>
            </w:r>
            <w:proofErr w:type="spellStart"/>
            <w:r w:rsidRPr="005D3348">
              <w:t>BtR</w:t>
            </w:r>
            <w:proofErr w:type="spellEnd"/>
            <w:r w:rsidRPr="005D3348">
              <w:t>, PRS, or large-scale residential portfolios.</w:t>
            </w:r>
          </w:p>
          <w:p w14:paraId="2EE96C22" w14:textId="27D389AB" w:rsidR="00601134" w:rsidRPr="005D3348" w:rsidRDefault="00601134" w:rsidP="00601134">
            <w:pPr>
              <w:spacing w:after="160" w:line="278" w:lineRule="auto"/>
            </w:pPr>
            <w:r w:rsidRPr="005D3348">
              <w:t>Experience of mobilisation and stabilisation of new developments.</w:t>
            </w:r>
          </w:p>
          <w:p w14:paraId="16B46282" w14:textId="529930B9" w:rsidR="00CE4339" w:rsidRPr="00D0678F" w:rsidRDefault="00CE4339" w:rsidP="008208BF">
            <w:pPr>
              <w:spacing w:before="120"/>
              <w:rPr>
                <w:rFonts w:cs="Arial"/>
                <w:bCs/>
                <w:color w:val="000000"/>
              </w:rPr>
            </w:pPr>
          </w:p>
        </w:tc>
      </w:tr>
      <w:tr w:rsidR="006A6ABD" w:rsidRPr="00D0678F" w14:paraId="56C587B3" w14:textId="77777777" w:rsidTr="008208BF">
        <w:trPr>
          <w:tblCellSpacing w:w="0" w:type="dxa"/>
        </w:trPr>
        <w:tc>
          <w:tcPr>
            <w:tcW w:w="1338" w:type="pct"/>
            <w:tcBorders>
              <w:top w:val="outset" w:sz="6" w:space="0" w:color="auto"/>
              <w:left w:val="outset" w:sz="6" w:space="0" w:color="auto"/>
              <w:bottom w:val="outset" w:sz="6" w:space="0" w:color="auto"/>
              <w:right w:val="outset" w:sz="6" w:space="0" w:color="auto"/>
            </w:tcBorders>
          </w:tcPr>
          <w:p w14:paraId="5BF7C3EE" w14:textId="77777777" w:rsidR="006A6ABD" w:rsidRPr="00D0678F" w:rsidRDefault="006A6ABD" w:rsidP="008208BF">
            <w:pPr>
              <w:spacing w:after="120"/>
              <w:rPr>
                <w:rFonts w:cs="Arial"/>
              </w:rPr>
            </w:pPr>
            <w:r w:rsidRPr="00D0678F">
              <w:rPr>
                <w:rFonts w:cs="Arial"/>
                <w:bCs/>
              </w:rPr>
              <w:t xml:space="preserve">Qualities </w:t>
            </w:r>
            <w:r w:rsidRPr="00D0678F">
              <w:rPr>
                <w:rFonts w:cs="Arial"/>
                <w:bCs/>
              </w:rPr>
              <w:br/>
              <w:t>(Particular qualities necessary to carry out the works, e.g. ability to work under pressure or work co-operatively in a team).</w:t>
            </w:r>
          </w:p>
        </w:tc>
        <w:tc>
          <w:tcPr>
            <w:tcW w:w="2194" w:type="pct"/>
            <w:tcBorders>
              <w:top w:val="outset" w:sz="6" w:space="0" w:color="auto"/>
              <w:left w:val="outset" w:sz="6" w:space="0" w:color="auto"/>
              <w:bottom w:val="outset" w:sz="6" w:space="0" w:color="auto"/>
              <w:right w:val="outset" w:sz="6" w:space="0" w:color="auto"/>
            </w:tcBorders>
          </w:tcPr>
          <w:p w14:paraId="4B246B69" w14:textId="77777777" w:rsidR="0045316A" w:rsidRDefault="006A6ABD" w:rsidP="00A13704">
            <w:pPr>
              <w:spacing w:after="120"/>
              <w:ind w:left="136"/>
              <w:rPr>
                <w:rFonts w:cs="Arial"/>
                <w:bCs/>
                <w:color w:val="000000"/>
              </w:rPr>
            </w:pPr>
            <w:r w:rsidRPr="00D0678F">
              <w:rPr>
                <w:rFonts w:cs="Arial"/>
                <w:bCs/>
                <w:color w:val="000000"/>
              </w:rPr>
              <w:t>Highly motivated,</w:t>
            </w:r>
            <w:r w:rsidR="0045316A">
              <w:rPr>
                <w:rFonts w:cs="Arial"/>
                <w:bCs/>
                <w:color w:val="000000"/>
              </w:rPr>
              <w:t xml:space="preserve"> organised team worker with a</w:t>
            </w:r>
            <w:r w:rsidRPr="00D0678F">
              <w:rPr>
                <w:rFonts w:cs="Arial"/>
                <w:bCs/>
                <w:color w:val="000000"/>
              </w:rPr>
              <w:t xml:space="preserve"> ‘can do’ approach and excellent customer focus</w:t>
            </w:r>
            <w:r w:rsidR="0045316A">
              <w:rPr>
                <w:rFonts w:cs="Arial"/>
                <w:bCs/>
                <w:color w:val="000000"/>
              </w:rPr>
              <w:t>.</w:t>
            </w:r>
          </w:p>
          <w:p w14:paraId="4F396ED7" w14:textId="77777777" w:rsidR="006A6ABD" w:rsidRPr="00D0678F" w:rsidRDefault="0045316A" w:rsidP="008208BF">
            <w:pPr>
              <w:ind w:left="136"/>
              <w:rPr>
                <w:rFonts w:cs="Arial"/>
                <w:bCs/>
                <w:color w:val="000000"/>
              </w:rPr>
            </w:pPr>
            <w:r>
              <w:rPr>
                <w:rFonts w:cs="Arial"/>
                <w:bCs/>
                <w:color w:val="000000"/>
              </w:rPr>
              <w:t>Ability to work under pressure and to tight deadlines.</w:t>
            </w:r>
          </w:p>
        </w:tc>
        <w:tc>
          <w:tcPr>
            <w:tcW w:w="1469" w:type="pct"/>
            <w:tcBorders>
              <w:top w:val="outset" w:sz="6" w:space="0" w:color="auto"/>
              <w:left w:val="outset" w:sz="6" w:space="0" w:color="auto"/>
              <w:bottom w:val="outset" w:sz="6" w:space="0" w:color="auto"/>
              <w:right w:val="outset" w:sz="6" w:space="0" w:color="auto"/>
            </w:tcBorders>
          </w:tcPr>
          <w:p w14:paraId="695E03D2" w14:textId="77777777" w:rsidR="006A6ABD" w:rsidRPr="00D0678F" w:rsidRDefault="0045316A" w:rsidP="008208BF">
            <w:pPr>
              <w:ind w:left="50"/>
              <w:rPr>
                <w:rFonts w:cs="Arial"/>
                <w:bCs/>
              </w:rPr>
            </w:pPr>
            <w:r>
              <w:rPr>
                <w:rFonts w:cs="Arial"/>
                <w:bCs/>
              </w:rPr>
              <w:t>Ability to work with minimum supervision.</w:t>
            </w:r>
          </w:p>
        </w:tc>
      </w:tr>
      <w:tr w:rsidR="006A6ABD" w:rsidRPr="00D0678F" w14:paraId="2108ABB1" w14:textId="77777777" w:rsidTr="008208BF">
        <w:trPr>
          <w:tblCellSpacing w:w="0" w:type="dxa"/>
        </w:trPr>
        <w:tc>
          <w:tcPr>
            <w:tcW w:w="1338" w:type="pct"/>
            <w:tcBorders>
              <w:top w:val="outset" w:sz="6" w:space="0" w:color="auto"/>
              <w:left w:val="outset" w:sz="6" w:space="0" w:color="auto"/>
              <w:bottom w:val="outset" w:sz="6" w:space="0" w:color="auto"/>
              <w:right w:val="outset" w:sz="6" w:space="0" w:color="auto"/>
            </w:tcBorders>
          </w:tcPr>
          <w:p w14:paraId="72F3B3E4" w14:textId="77777777" w:rsidR="006A6ABD" w:rsidRPr="00D0678F" w:rsidRDefault="006A6ABD" w:rsidP="008208BF">
            <w:pPr>
              <w:spacing w:after="240"/>
              <w:rPr>
                <w:rFonts w:cs="Arial"/>
              </w:rPr>
            </w:pPr>
            <w:r w:rsidRPr="00D0678F">
              <w:rPr>
                <w:rFonts w:cs="Arial"/>
                <w:bCs/>
              </w:rPr>
              <w:t xml:space="preserve">Special Conditions </w:t>
            </w:r>
            <w:r w:rsidRPr="00D0678F">
              <w:rPr>
                <w:rFonts w:cs="Arial"/>
                <w:bCs/>
              </w:rPr>
              <w:br/>
              <w:t>(e.g. willingness to work unsociable hours or wear a uniform).</w:t>
            </w:r>
          </w:p>
        </w:tc>
        <w:tc>
          <w:tcPr>
            <w:tcW w:w="2194" w:type="pct"/>
            <w:tcBorders>
              <w:top w:val="outset" w:sz="6" w:space="0" w:color="auto"/>
              <w:left w:val="outset" w:sz="6" w:space="0" w:color="auto"/>
              <w:bottom w:val="outset" w:sz="6" w:space="0" w:color="auto"/>
              <w:right w:val="outset" w:sz="6" w:space="0" w:color="auto"/>
            </w:tcBorders>
          </w:tcPr>
          <w:p w14:paraId="0A49382E" w14:textId="77777777" w:rsidR="006A6ABD" w:rsidRPr="00D0678F" w:rsidRDefault="006A6ABD" w:rsidP="008208BF">
            <w:pPr>
              <w:spacing w:after="120"/>
              <w:ind w:left="136"/>
              <w:rPr>
                <w:rFonts w:cs="Arial"/>
                <w:bCs/>
                <w:color w:val="000000"/>
              </w:rPr>
            </w:pPr>
            <w:r w:rsidRPr="00D0678F">
              <w:rPr>
                <w:rFonts w:cs="Arial"/>
                <w:bCs/>
                <w:color w:val="000000"/>
              </w:rPr>
              <w:t>Out of hours working as and when required</w:t>
            </w:r>
          </w:p>
          <w:p w14:paraId="35FCE40D" w14:textId="77777777" w:rsidR="006A6ABD" w:rsidRPr="00D0678F" w:rsidRDefault="006A6ABD" w:rsidP="008208BF">
            <w:pPr>
              <w:spacing w:after="120"/>
              <w:ind w:left="136"/>
              <w:rPr>
                <w:rFonts w:cs="Arial"/>
                <w:bCs/>
                <w:color w:val="000000"/>
              </w:rPr>
            </w:pPr>
            <w:r w:rsidRPr="00D0678F">
              <w:rPr>
                <w:rFonts w:cs="Arial"/>
                <w:bCs/>
                <w:color w:val="000000"/>
              </w:rPr>
              <w:t>Attending &amp; responding to emergencies out of hours</w:t>
            </w:r>
          </w:p>
          <w:p w14:paraId="41C5880F" w14:textId="77777777" w:rsidR="006A6ABD" w:rsidRPr="00D0678F" w:rsidRDefault="006A6ABD" w:rsidP="002E2002">
            <w:pPr>
              <w:spacing w:after="120"/>
              <w:ind w:left="136"/>
              <w:rPr>
                <w:rFonts w:cs="Arial"/>
                <w:bCs/>
                <w:color w:val="000000"/>
              </w:rPr>
            </w:pPr>
            <w:r w:rsidRPr="00D0678F">
              <w:rPr>
                <w:rFonts w:cs="Arial"/>
                <w:bCs/>
                <w:color w:val="000000"/>
              </w:rPr>
              <w:t xml:space="preserve">Full driving licence and use of car to carry out duties </w:t>
            </w:r>
          </w:p>
        </w:tc>
        <w:tc>
          <w:tcPr>
            <w:tcW w:w="1469" w:type="pct"/>
            <w:tcBorders>
              <w:top w:val="outset" w:sz="6" w:space="0" w:color="auto"/>
              <w:left w:val="outset" w:sz="6" w:space="0" w:color="auto"/>
              <w:bottom w:val="outset" w:sz="6" w:space="0" w:color="auto"/>
              <w:right w:val="outset" w:sz="6" w:space="0" w:color="auto"/>
            </w:tcBorders>
          </w:tcPr>
          <w:p w14:paraId="52019046" w14:textId="77777777" w:rsidR="006A6ABD" w:rsidRPr="00D0678F" w:rsidRDefault="006A6ABD" w:rsidP="008208BF">
            <w:pPr>
              <w:spacing w:after="100" w:afterAutospacing="1"/>
              <w:ind w:left="50"/>
              <w:rPr>
                <w:rFonts w:cs="Arial"/>
                <w:bCs/>
                <w:color w:val="000000"/>
              </w:rPr>
            </w:pPr>
          </w:p>
        </w:tc>
      </w:tr>
    </w:tbl>
    <w:p w14:paraId="64AF6C1B" w14:textId="77777777" w:rsidR="006A6ABD" w:rsidRDefault="006A6ABD" w:rsidP="006A6ABD"/>
    <w:p w14:paraId="38D33A99" w14:textId="77777777" w:rsidR="006A6ABD" w:rsidRDefault="006A6ABD"/>
    <w:sectPr w:rsidR="006A6ABD" w:rsidSect="00C52D19">
      <w:headerReference w:type="default" r:id="rId10"/>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E2AB" w14:textId="77777777" w:rsidR="00B41539" w:rsidRDefault="00B41539" w:rsidP="00B41539">
      <w:r>
        <w:separator/>
      </w:r>
    </w:p>
  </w:endnote>
  <w:endnote w:type="continuationSeparator" w:id="0">
    <w:p w14:paraId="4F3A3586" w14:textId="77777777" w:rsidR="00B41539" w:rsidRDefault="00B41539" w:rsidP="00B4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1CB5" w14:textId="77777777" w:rsidR="00B41539" w:rsidRDefault="00B41539" w:rsidP="00B41539">
      <w:r>
        <w:separator/>
      </w:r>
    </w:p>
  </w:footnote>
  <w:footnote w:type="continuationSeparator" w:id="0">
    <w:p w14:paraId="1BA2A902" w14:textId="77777777" w:rsidR="00B41539" w:rsidRDefault="00B41539" w:rsidP="00B41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9BCC" w14:textId="18290E4F" w:rsidR="00B41539" w:rsidRDefault="00B41539">
    <w:pPr>
      <w:pStyle w:val="Header"/>
    </w:pPr>
    <w:r>
      <w:rPr>
        <w:noProof/>
      </w:rPr>
      <w:drawing>
        <wp:inline distT="0" distB="0" distL="0" distR="0" wp14:anchorId="7A16AF3B" wp14:editId="2B6EE7D3">
          <wp:extent cx="1952625" cy="540811"/>
          <wp:effectExtent l="0" t="0" r="0" b="0"/>
          <wp:docPr id="964328523"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28523" name="Picture 1" descr="A black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65322" cy="544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0B6D"/>
    <w:multiLevelType w:val="multilevel"/>
    <w:tmpl w:val="20CECAC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104C0A"/>
    <w:multiLevelType w:val="multilevel"/>
    <w:tmpl w:val="C962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170F64"/>
    <w:multiLevelType w:val="multilevel"/>
    <w:tmpl w:val="D86AF8A4"/>
    <w:lvl w:ilvl="0">
      <w:start w:val="1"/>
      <w:numFmt w:val="decimal"/>
      <w:lvlText w:val="%1"/>
      <w:lvlJc w:val="left"/>
      <w:pPr>
        <w:ind w:left="900" w:hanging="54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097DA9"/>
    <w:multiLevelType w:val="multilevel"/>
    <w:tmpl w:val="232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514780"/>
    <w:multiLevelType w:val="multilevel"/>
    <w:tmpl w:val="8F8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251894"/>
    <w:multiLevelType w:val="multilevel"/>
    <w:tmpl w:val="2406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A632F0"/>
    <w:multiLevelType w:val="multilevel"/>
    <w:tmpl w:val="AA7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EC7745"/>
    <w:multiLevelType w:val="multilevel"/>
    <w:tmpl w:val="CB5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020055"/>
    <w:multiLevelType w:val="multilevel"/>
    <w:tmpl w:val="E8EC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B12213"/>
    <w:multiLevelType w:val="hybridMultilevel"/>
    <w:tmpl w:val="B1C8E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277993">
    <w:abstractNumId w:val="0"/>
  </w:num>
  <w:num w:numId="2" w16cid:durableId="1972588754">
    <w:abstractNumId w:val="8"/>
  </w:num>
  <w:num w:numId="3" w16cid:durableId="1585265855">
    <w:abstractNumId w:val="2"/>
  </w:num>
  <w:num w:numId="4" w16cid:durableId="649287751">
    <w:abstractNumId w:val="4"/>
  </w:num>
  <w:num w:numId="5" w16cid:durableId="1374039377">
    <w:abstractNumId w:val="7"/>
  </w:num>
  <w:num w:numId="6" w16cid:durableId="900866844">
    <w:abstractNumId w:val="3"/>
  </w:num>
  <w:num w:numId="7" w16cid:durableId="1307396350">
    <w:abstractNumId w:val="6"/>
  </w:num>
  <w:num w:numId="8" w16cid:durableId="1122115007">
    <w:abstractNumId w:val="1"/>
  </w:num>
  <w:num w:numId="9" w16cid:durableId="581064168">
    <w:abstractNumId w:val="5"/>
  </w:num>
  <w:num w:numId="10" w16cid:durableId="18410465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ABD"/>
    <w:rsid w:val="00020D69"/>
    <w:rsid w:val="000B30ED"/>
    <w:rsid w:val="000E5407"/>
    <w:rsid w:val="00165E34"/>
    <w:rsid w:val="002310DF"/>
    <w:rsid w:val="002369AC"/>
    <w:rsid w:val="002C66A6"/>
    <w:rsid w:val="002E2002"/>
    <w:rsid w:val="002F329E"/>
    <w:rsid w:val="00362171"/>
    <w:rsid w:val="003A6D53"/>
    <w:rsid w:val="00417BA3"/>
    <w:rsid w:val="0045316A"/>
    <w:rsid w:val="00490C18"/>
    <w:rsid w:val="00560C4C"/>
    <w:rsid w:val="00586382"/>
    <w:rsid w:val="00591F14"/>
    <w:rsid w:val="005A6641"/>
    <w:rsid w:val="005D16A3"/>
    <w:rsid w:val="00601134"/>
    <w:rsid w:val="006A6ABD"/>
    <w:rsid w:val="006C3049"/>
    <w:rsid w:val="006C5B9B"/>
    <w:rsid w:val="007463B9"/>
    <w:rsid w:val="0077076F"/>
    <w:rsid w:val="007B2945"/>
    <w:rsid w:val="00896A6D"/>
    <w:rsid w:val="009E122C"/>
    <w:rsid w:val="009F3EE6"/>
    <w:rsid w:val="00A13704"/>
    <w:rsid w:val="00B41539"/>
    <w:rsid w:val="00C00C5B"/>
    <w:rsid w:val="00C85874"/>
    <w:rsid w:val="00CE4339"/>
    <w:rsid w:val="00D12F8E"/>
    <w:rsid w:val="00D865F9"/>
    <w:rsid w:val="00D91CFD"/>
    <w:rsid w:val="00DD0389"/>
    <w:rsid w:val="00E35A76"/>
    <w:rsid w:val="00E8263F"/>
    <w:rsid w:val="00EA6E9E"/>
    <w:rsid w:val="00EB29FB"/>
    <w:rsid w:val="00F1430B"/>
    <w:rsid w:val="00F725FE"/>
    <w:rsid w:val="00F95CD2"/>
    <w:rsid w:val="00FA0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34B719"/>
  <w15:docId w15:val="{68C0051B-42C2-4795-8321-3B8CB0F2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ABD"/>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ABD"/>
    <w:pPr>
      <w:ind w:left="720"/>
      <w:contextualSpacing/>
    </w:pPr>
  </w:style>
  <w:style w:type="paragraph" w:styleId="Header">
    <w:name w:val="header"/>
    <w:basedOn w:val="Normal"/>
    <w:link w:val="HeaderChar"/>
    <w:uiPriority w:val="99"/>
    <w:unhideWhenUsed/>
    <w:rsid w:val="00B41539"/>
    <w:pPr>
      <w:tabs>
        <w:tab w:val="center" w:pos="4513"/>
        <w:tab w:val="right" w:pos="9026"/>
      </w:tabs>
    </w:pPr>
  </w:style>
  <w:style w:type="character" w:customStyle="1" w:styleId="HeaderChar">
    <w:name w:val="Header Char"/>
    <w:basedOn w:val="DefaultParagraphFont"/>
    <w:link w:val="Header"/>
    <w:uiPriority w:val="99"/>
    <w:rsid w:val="00B41539"/>
    <w:rPr>
      <w:rFonts w:ascii="Arial" w:hAnsi="Arial"/>
      <w:sz w:val="22"/>
      <w:szCs w:val="22"/>
    </w:rPr>
  </w:style>
  <w:style w:type="paragraph" w:styleId="Footer">
    <w:name w:val="footer"/>
    <w:basedOn w:val="Normal"/>
    <w:link w:val="FooterChar"/>
    <w:uiPriority w:val="99"/>
    <w:unhideWhenUsed/>
    <w:rsid w:val="00B41539"/>
    <w:pPr>
      <w:tabs>
        <w:tab w:val="center" w:pos="4513"/>
        <w:tab w:val="right" w:pos="9026"/>
      </w:tabs>
    </w:pPr>
  </w:style>
  <w:style w:type="character" w:customStyle="1" w:styleId="FooterChar">
    <w:name w:val="Footer Char"/>
    <w:basedOn w:val="DefaultParagraphFont"/>
    <w:link w:val="Footer"/>
    <w:uiPriority w:val="99"/>
    <w:rsid w:val="00B4153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E8B8880509494789FA2AB359266D3B" ma:contentTypeVersion="11" ma:contentTypeDescription="Create a new document." ma:contentTypeScope="" ma:versionID="930e438888de55d2a6b6f58d5fcfcc0d">
  <xsd:schema xmlns:xsd="http://www.w3.org/2001/XMLSchema" xmlns:xs="http://www.w3.org/2001/XMLSchema" xmlns:p="http://schemas.microsoft.com/office/2006/metadata/properties" xmlns:ns2="a494ba43-f35c-4d99-8322-806f339d9d66" targetNamespace="http://schemas.microsoft.com/office/2006/metadata/properties" ma:root="true" ma:fieldsID="fe423d5710c58060a94bd885c9d67883" ns2:_="">
    <xsd:import namespace="a494ba43-f35c-4d99-8322-806f339d9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ba43-f35c-4d99-8322-806f339d9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77105-2839-43DB-9821-311FDB548535}">
  <ds:schemaRefs>
    <ds:schemaRef ds:uri="http://schemas.microsoft.com/sharepoint/v3/contenttype/forms"/>
  </ds:schemaRefs>
</ds:datastoreItem>
</file>

<file path=customXml/itemProps2.xml><?xml version="1.0" encoding="utf-8"?>
<ds:datastoreItem xmlns:ds="http://schemas.openxmlformats.org/officeDocument/2006/customXml" ds:itemID="{2EED6C7D-FD9C-4677-B35D-0CA407635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ba43-f35c-4d99-8322-806f339d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5A02C-3D3A-4C6C-A52C-B0C32C08B2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688</Words>
  <Characters>4354</Characters>
  <Application>Microsoft Office Word</Application>
  <DocSecurity>0</DocSecurity>
  <Lines>181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Elizabeth</dc:creator>
  <cp:lastModifiedBy>Joshua Arthur</cp:lastModifiedBy>
  <cp:revision>34</cp:revision>
  <dcterms:created xsi:type="dcterms:W3CDTF">2020-07-08T06:49:00Z</dcterms:created>
  <dcterms:modified xsi:type="dcterms:W3CDTF">2026-02-03T15:15:00Z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0x010100D7E8B8880509494789FA2AB359266D3B</vt:lpwstr>
  </property>
</Properties>
</file>