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BA9D8" w14:textId="77777777" w:rsidR="00D043C7" w:rsidRPr="00D93948" w:rsidRDefault="0077088B">
      <w:pPr>
        <w:pStyle w:val="Title"/>
      </w:pPr>
      <w:r w:rsidRPr="00D93948">
        <w:t>Quarterly Council Housing Complaints and Service Improvement Dashboard</w:t>
      </w:r>
    </w:p>
    <w:p w14:paraId="7D9BEDA7" w14:textId="77777777" w:rsidR="0077088B" w:rsidRPr="00D93948" w:rsidRDefault="0077088B">
      <w:pPr>
        <w:pStyle w:val="Subtitle"/>
        <w:rPr>
          <w:lang w:eastAsia="en-GB"/>
        </w:rPr>
      </w:pPr>
      <w:r w:rsidRPr="00D93948">
        <w:t>For reporting to Housing Cabinet Committee</w:t>
      </w:r>
    </w:p>
    <w:p w14:paraId="106785A0" w14:textId="77777777" w:rsidR="0077088B" w:rsidRPr="00D93948" w:rsidRDefault="0077088B">
      <w:pPr>
        <w:pStyle w:val="Heading1"/>
        <w:rPr>
          <w:lang w:eastAsia="en-GB"/>
        </w:rPr>
      </w:pPr>
      <w:r w:rsidRPr="00D93948">
        <w:t>1. Purpose of the Dashboard</w:t>
      </w:r>
    </w:p>
    <w:p w14:paraId="677F6EB9" w14:textId="77777777" w:rsidR="0077088B" w:rsidRDefault="0077088B">
      <w:pPr>
        <w:rPr>
          <w:lang w:eastAsia="en-GB"/>
        </w:rPr>
      </w:pPr>
      <w:r>
        <w:t>This dashboard provides quarterly oversight of council housing complaints, complaint handling performance and progress against the 2026/27 Complaints Service Improvement Action Plan. It is intended to give Members clear assurance that learning from complaints, tenant feedback, Housing Ombudsman activity and wider performance information is being translated into measurable service improvement.</w:t>
      </w:r>
    </w:p>
    <w:p w14:paraId="116B0031" w14:textId="77777777" w:rsidR="0077088B" w:rsidRDefault="0077088B">
      <w:pPr>
        <w:rPr>
          <w:lang w:eastAsia="en-GB"/>
        </w:rPr>
      </w:pPr>
      <w:r>
        <w:t>The dashboard should be reviewed alongside the quarterly narrative update from the Complaints and Data Manager, highlighting key trends, areas of concern, improvement activity completed during the quarter and any matters requiring Member awareness or escalation.</w:t>
      </w:r>
    </w:p>
    <w:p w14:paraId="69DD669C" w14:textId="77777777" w:rsidR="0077088B" w:rsidRDefault="0077088B">
      <w:pPr>
        <w:pStyle w:val="Heading1"/>
        <w:rPr>
          <w:rFonts w:asciiTheme="minorHAnsi" w:hAnsiTheme="minorHAnsi" w:cstheme="minorBidi"/>
          <w:lang w:eastAsia="en-GB"/>
        </w:rPr>
      </w:pPr>
      <w:r>
        <w:rPr>
          <w:rFonts w:asciiTheme="minorHAnsi" w:hAnsiTheme="minorHAnsi" w:cstheme="minorBidi"/>
        </w:rPr>
        <w:t>2. Quarterly Summary Scorecard</w:t>
      </w:r>
    </w:p>
    <w:tbl>
      <w:tblPr>
        <w:tblStyle w:val="GridTable4-Accent1"/>
        <w:tblW w:w="0" w:type="auto"/>
        <w:tblLook w:val="04A0" w:firstRow="1" w:lastRow="0" w:firstColumn="1" w:lastColumn="0" w:noHBand="0" w:noVBand="1"/>
      </w:tblPr>
      <w:tblGrid>
        <w:gridCol w:w="2097"/>
        <w:gridCol w:w="4365"/>
        <w:gridCol w:w="1892"/>
        <w:gridCol w:w="5584"/>
      </w:tblGrid>
      <w:tr w:rsidR="00E97649" w14:paraId="23CD784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006B3F"/>
              <w:left w:val="single" w:sz="8" w:space="0" w:color="006B3F"/>
              <w:bottom w:val="single" w:sz="8" w:space="0" w:color="006B3F"/>
            </w:tcBorders>
            <w:shd w:val="clear" w:color="auto" w:fill="006B3F"/>
            <w:hideMark/>
          </w:tcPr>
          <w:p w14:paraId="46B7E95E" w14:textId="77777777" w:rsidR="00E97649" w:rsidRDefault="00E97649">
            <w:pPr>
              <w:spacing w:after="160"/>
              <w:rPr>
                <w:lang w:eastAsia="en-GB"/>
              </w:rPr>
            </w:pPr>
            <w:r>
              <w:t>Reporting quarter</w:t>
            </w:r>
          </w:p>
        </w:tc>
        <w:tc>
          <w:tcPr>
            <w:tcW w:w="0" w:type="auto"/>
            <w:tcBorders>
              <w:top w:val="single" w:sz="8" w:space="0" w:color="006B3F"/>
              <w:bottom w:val="single" w:sz="8" w:space="0" w:color="006B3F"/>
            </w:tcBorders>
            <w:shd w:val="clear" w:color="auto" w:fill="006B3F"/>
            <w:hideMark/>
          </w:tcPr>
          <w:p w14:paraId="18808D7F" w14:textId="77777777" w:rsidR="00E97649" w:rsidRDefault="00E97649">
            <w:pPr>
              <w:spacing w:after="160"/>
              <w:cnfStyle w:val="100000000000" w:firstRow="1" w:lastRow="0" w:firstColumn="0" w:lastColumn="0" w:oddVBand="0" w:evenVBand="0" w:oddHBand="0" w:evenHBand="0" w:firstRowFirstColumn="0" w:firstRowLastColumn="0" w:lastRowFirstColumn="0" w:lastRowLastColumn="0"/>
            </w:pPr>
            <w:r>
              <w:t>April to June 2026</w:t>
            </w:r>
          </w:p>
        </w:tc>
        <w:tc>
          <w:tcPr>
            <w:tcW w:w="0" w:type="auto"/>
            <w:tcBorders>
              <w:top w:val="single" w:sz="8" w:space="0" w:color="006B3F"/>
              <w:bottom w:val="single" w:sz="8" w:space="0" w:color="006B3F"/>
            </w:tcBorders>
            <w:shd w:val="clear" w:color="auto" w:fill="006B3F"/>
            <w:hideMark/>
          </w:tcPr>
          <w:p w14:paraId="16C10C84" w14:textId="77777777" w:rsidR="00E97649" w:rsidRDefault="00E97649">
            <w:pPr>
              <w:spacing w:after="160"/>
              <w:cnfStyle w:val="100000000000" w:firstRow="1" w:lastRow="0" w:firstColumn="0" w:lastColumn="0" w:oddVBand="0" w:evenVBand="0" w:oddHBand="0" w:evenHBand="0" w:firstRowFirstColumn="0" w:firstRowLastColumn="0" w:lastRowFirstColumn="0" w:lastRowLastColumn="0"/>
            </w:pPr>
            <w:r>
              <w:t>Overall status</w:t>
            </w:r>
          </w:p>
        </w:tc>
        <w:tc>
          <w:tcPr>
            <w:tcW w:w="0" w:type="auto"/>
            <w:tcBorders>
              <w:top w:val="single" w:sz="8" w:space="0" w:color="006B3F"/>
              <w:bottom w:val="single" w:sz="8" w:space="0" w:color="006B3F"/>
              <w:right w:val="single" w:sz="8" w:space="0" w:color="006B3F"/>
            </w:tcBorders>
            <w:shd w:val="clear" w:color="auto" w:fill="006B3F"/>
            <w:hideMark/>
          </w:tcPr>
          <w:p w14:paraId="0709F375" w14:textId="77777777" w:rsidR="00E97649" w:rsidRDefault="00E97649">
            <w:pPr>
              <w:spacing w:after="160"/>
              <w:cnfStyle w:val="100000000000" w:firstRow="1" w:lastRow="0" w:firstColumn="0" w:lastColumn="0" w:oddVBand="0" w:evenVBand="0" w:oddHBand="0" w:evenHBand="0" w:firstRowFirstColumn="0" w:firstRowLastColumn="0" w:lastRowFirstColumn="0" w:lastRowLastColumn="0"/>
            </w:pPr>
            <w:r>
              <w:t>Amber</w:t>
            </w:r>
          </w:p>
        </w:tc>
      </w:tr>
      <w:tr w:rsidR="00E97649" w14:paraId="3F492BC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6AA84F"/>
              <w:bottom w:val="single" w:sz="8" w:space="0" w:color="6AA84F"/>
              <w:right w:val="single" w:sz="8" w:space="0" w:color="6AA84F"/>
            </w:tcBorders>
            <w:shd w:val="clear" w:color="auto" w:fill="D9EAD3"/>
            <w:hideMark/>
          </w:tcPr>
          <w:p w14:paraId="1C8B9B5A" w14:textId="77777777" w:rsidR="00E97649" w:rsidRDefault="00E97649">
            <w:pPr>
              <w:spacing w:after="160"/>
            </w:pPr>
            <w:r>
              <w:rPr>
                <w:color w:val="000000"/>
              </w:rPr>
              <w:t>Total complaints received</w:t>
            </w:r>
          </w:p>
        </w:tc>
        <w:tc>
          <w:tcPr>
            <w:tcW w:w="0" w:type="auto"/>
            <w:tcBorders>
              <w:top w:val="nil"/>
              <w:left w:val="nil"/>
              <w:bottom w:val="single" w:sz="8" w:space="0" w:color="6AA84F"/>
              <w:right w:val="single" w:sz="8" w:space="0" w:color="6AA84F"/>
            </w:tcBorders>
            <w:shd w:val="clear" w:color="auto" w:fill="D9EAD3"/>
            <w:hideMark/>
          </w:tcPr>
          <w:p w14:paraId="32D38C96" w14:textId="77777777" w:rsidR="00E97649" w:rsidRDefault="00E97649">
            <w:pPr>
              <w:spacing w:after="160"/>
              <w:cnfStyle w:val="000000100000" w:firstRow="0" w:lastRow="0" w:firstColumn="0" w:lastColumn="0" w:oddVBand="0" w:evenVBand="0" w:oddHBand="1" w:evenHBand="0" w:firstRowFirstColumn="0" w:firstRowLastColumn="0" w:lastRowFirstColumn="0" w:lastRowLastColumn="0"/>
            </w:pPr>
            <w:r>
              <w:rPr>
                <w:color w:val="000000"/>
              </w:rPr>
              <w:t>88</w:t>
            </w:r>
          </w:p>
        </w:tc>
        <w:tc>
          <w:tcPr>
            <w:tcW w:w="0" w:type="auto"/>
            <w:tcBorders>
              <w:top w:val="nil"/>
              <w:left w:val="nil"/>
              <w:bottom w:val="single" w:sz="8" w:space="0" w:color="6AA84F"/>
              <w:right w:val="single" w:sz="8" w:space="0" w:color="6AA84F"/>
            </w:tcBorders>
            <w:shd w:val="clear" w:color="auto" w:fill="D9EAD3"/>
            <w:hideMark/>
          </w:tcPr>
          <w:p w14:paraId="78C51581" w14:textId="77777777" w:rsidR="00E97649" w:rsidRDefault="00E97649">
            <w:pPr>
              <w:spacing w:after="160"/>
              <w:cnfStyle w:val="000000100000" w:firstRow="0" w:lastRow="0" w:firstColumn="0" w:lastColumn="0" w:oddVBand="0" w:evenVBand="0" w:oddHBand="1" w:evenHBand="0" w:firstRowFirstColumn="0" w:firstRowLastColumn="0" w:lastRowFirstColumn="0" w:lastRowLastColumn="0"/>
            </w:pPr>
            <w:r>
              <w:rPr>
                <w:b/>
                <w:bCs/>
                <w:color w:val="000000"/>
              </w:rPr>
              <w:t>Previous year</w:t>
            </w:r>
          </w:p>
        </w:tc>
        <w:tc>
          <w:tcPr>
            <w:tcW w:w="0" w:type="auto"/>
            <w:tcBorders>
              <w:top w:val="nil"/>
              <w:left w:val="nil"/>
              <w:bottom w:val="single" w:sz="8" w:space="0" w:color="6AA84F"/>
              <w:right w:val="single" w:sz="8" w:space="0" w:color="6AA84F"/>
            </w:tcBorders>
            <w:shd w:val="clear" w:color="auto" w:fill="D9EAD3"/>
            <w:hideMark/>
          </w:tcPr>
          <w:p w14:paraId="3BD6ECDA" w14:textId="77777777" w:rsidR="00E97649" w:rsidRDefault="00E97649">
            <w:pPr>
              <w:spacing w:after="160"/>
              <w:cnfStyle w:val="000000100000" w:firstRow="0" w:lastRow="0" w:firstColumn="0" w:lastColumn="0" w:oddVBand="0" w:evenVBand="0" w:oddHBand="1" w:evenHBand="0" w:firstRowFirstColumn="0" w:firstRowLastColumn="0" w:lastRowFirstColumn="0" w:lastRowLastColumn="0"/>
            </w:pPr>
            <w:r>
              <w:rPr>
                <w:color w:val="000000"/>
              </w:rPr>
              <w:t>April to June 2025 recorded 43 complaints; current quarter increased by 45 complaints year on year.</w:t>
            </w:r>
          </w:p>
        </w:tc>
      </w:tr>
      <w:tr w:rsidR="00E97649" w14:paraId="59E4D6AB" w14:textId="77777777">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6AA84F"/>
              <w:bottom w:val="single" w:sz="8" w:space="0" w:color="6AA84F"/>
              <w:right w:val="single" w:sz="8" w:space="0" w:color="6AA84F"/>
            </w:tcBorders>
            <w:hideMark/>
          </w:tcPr>
          <w:p w14:paraId="75206CAB" w14:textId="77777777" w:rsidR="00E97649" w:rsidRDefault="00E97649">
            <w:pPr>
              <w:spacing w:after="160"/>
            </w:pPr>
            <w:r>
              <w:t>Stage 1 complaints</w:t>
            </w:r>
          </w:p>
        </w:tc>
        <w:tc>
          <w:tcPr>
            <w:tcW w:w="0" w:type="auto"/>
            <w:tcBorders>
              <w:top w:val="nil"/>
              <w:left w:val="nil"/>
              <w:bottom w:val="single" w:sz="8" w:space="0" w:color="6AA84F"/>
              <w:right w:val="single" w:sz="8" w:space="0" w:color="6AA84F"/>
            </w:tcBorders>
            <w:hideMark/>
          </w:tcPr>
          <w:p w14:paraId="77F5C8FD" w14:textId="77777777" w:rsidR="00E97649" w:rsidRDefault="00E97649">
            <w:pPr>
              <w:spacing w:after="160"/>
              <w:cnfStyle w:val="000000000000" w:firstRow="0" w:lastRow="0" w:firstColumn="0" w:lastColumn="0" w:oddVBand="0" w:evenVBand="0" w:oddHBand="0" w:evenHBand="0" w:firstRowFirstColumn="0" w:firstRowLastColumn="0" w:lastRowFirstColumn="0" w:lastRowLastColumn="0"/>
            </w:pPr>
            <w:r>
              <w:t>69</w:t>
            </w:r>
          </w:p>
        </w:tc>
        <w:tc>
          <w:tcPr>
            <w:tcW w:w="0" w:type="auto"/>
            <w:tcBorders>
              <w:top w:val="nil"/>
              <w:left w:val="nil"/>
              <w:bottom w:val="single" w:sz="8" w:space="0" w:color="6AA84F"/>
              <w:right w:val="single" w:sz="8" w:space="0" w:color="6AA84F"/>
            </w:tcBorders>
            <w:hideMark/>
          </w:tcPr>
          <w:p w14:paraId="2B2C8F44" w14:textId="77777777" w:rsidR="00E97649" w:rsidRDefault="00E97649">
            <w:pPr>
              <w:spacing w:after="160"/>
              <w:cnfStyle w:val="000000000000" w:firstRow="0" w:lastRow="0" w:firstColumn="0" w:lastColumn="0" w:oddVBand="0" w:evenVBand="0" w:oddHBand="0" w:evenHBand="0" w:firstRowFirstColumn="0" w:firstRowLastColumn="0" w:lastRowFirstColumn="0" w:lastRowLastColumn="0"/>
            </w:pPr>
            <w:r>
              <w:rPr>
                <w:b/>
                <w:bCs/>
              </w:rPr>
              <w:t>Stage 2 complaints</w:t>
            </w:r>
          </w:p>
        </w:tc>
        <w:tc>
          <w:tcPr>
            <w:tcW w:w="0" w:type="auto"/>
            <w:tcBorders>
              <w:top w:val="nil"/>
              <w:left w:val="nil"/>
              <w:bottom w:val="single" w:sz="8" w:space="0" w:color="6AA84F"/>
              <w:right w:val="single" w:sz="8" w:space="0" w:color="6AA84F"/>
            </w:tcBorders>
            <w:hideMark/>
          </w:tcPr>
          <w:p w14:paraId="6780F932" w14:textId="77777777" w:rsidR="00E97649" w:rsidRDefault="00E97649">
            <w:pPr>
              <w:spacing w:after="160"/>
              <w:cnfStyle w:val="000000000000" w:firstRow="0" w:lastRow="0" w:firstColumn="0" w:lastColumn="0" w:oddVBand="0" w:evenVBand="0" w:oddHBand="0" w:evenHBand="0" w:firstRowFirstColumn="0" w:firstRowLastColumn="0" w:lastRowFirstColumn="0" w:lastRowLastColumn="0"/>
            </w:pPr>
            <w:r>
              <w:t>19</w:t>
            </w:r>
          </w:p>
        </w:tc>
      </w:tr>
      <w:tr w:rsidR="00E97649" w14:paraId="2FF031D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6AA84F"/>
              <w:bottom w:val="single" w:sz="8" w:space="0" w:color="6AA84F"/>
              <w:right w:val="single" w:sz="8" w:space="0" w:color="6AA84F"/>
            </w:tcBorders>
            <w:shd w:val="clear" w:color="auto" w:fill="D9EAD3"/>
            <w:hideMark/>
          </w:tcPr>
          <w:p w14:paraId="3B0C405A" w14:textId="77777777" w:rsidR="00E97649" w:rsidRDefault="00E97649">
            <w:pPr>
              <w:spacing w:after="160"/>
            </w:pPr>
            <w:r>
              <w:rPr>
                <w:color w:val="000000"/>
              </w:rPr>
              <w:lastRenderedPageBreak/>
              <w:t>Previous year Stage 1 / Stage 2</w:t>
            </w:r>
          </w:p>
        </w:tc>
        <w:tc>
          <w:tcPr>
            <w:tcW w:w="0" w:type="auto"/>
            <w:tcBorders>
              <w:top w:val="nil"/>
              <w:left w:val="nil"/>
              <w:bottom w:val="single" w:sz="8" w:space="0" w:color="6AA84F"/>
              <w:right w:val="single" w:sz="8" w:space="0" w:color="6AA84F"/>
            </w:tcBorders>
            <w:shd w:val="clear" w:color="auto" w:fill="D9EAD3"/>
            <w:hideMark/>
          </w:tcPr>
          <w:p w14:paraId="600D9B8E" w14:textId="77777777" w:rsidR="00E97649" w:rsidRDefault="00E97649">
            <w:pPr>
              <w:spacing w:after="160"/>
              <w:cnfStyle w:val="000000100000" w:firstRow="0" w:lastRow="0" w:firstColumn="0" w:lastColumn="0" w:oddVBand="0" w:evenVBand="0" w:oddHBand="1" w:evenHBand="0" w:firstRowFirstColumn="0" w:firstRowLastColumn="0" w:lastRowFirstColumn="0" w:lastRowLastColumn="0"/>
            </w:pPr>
            <w:r>
              <w:rPr>
                <w:color w:val="000000"/>
              </w:rPr>
              <w:t xml:space="preserve">April to June 2025: 40 </w:t>
            </w:r>
            <w:proofErr w:type="gramStart"/>
            <w:r>
              <w:rPr>
                <w:color w:val="000000"/>
              </w:rPr>
              <w:t>Stage</w:t>
            </w:r>
            <w:proofErr w:type="gramEnd"/>
            <w:r>
              <w:rPr>
                <w:color w:val="000000"/>
              </w:rPr>
              <w:t xml:space="preserve"> 1 and 3 Stage 2 complaints.</w:t>
            </w:r>
          </w:p>
        </w:tc>
        <w:tc>
          <w:tcPr>
            <w:tcW w:w="0" w:type="auto"/>
            <w:tcBorders>
              <w:top w:val="nil"/>
              <w:left w:val="nil"/>
              <w:bottom w:val="single" w:sz="8" w:space="0" w:color="6AA84F"/>
              <w:right w:val="single" w:sz="8" w:space="0" w:color="6AA84F"/>
            </w:tcBorders>
            <w:shd w:val="clear" w:color="auto" w:fill="D9EAD3"/>
            <w:hideMark/>
          </w:tcPr>
          <w:p w14:paraId="05156EC8" w14:textId="77777777" w:rsidR="00E97649" w:rsidRDefault="00E97649">
            <w:pPr>
              <w:spacing w:after="160"/>
              <w:cnfStyle w:val="000000100000" w:firstRow="0" w:lastRow="0" w:firstColumn="0" w:lastColumn="0" w:oddVBand="0" w:evenVBand="0" w:oddHBand="1" w:evenHBand="0" w:firstRowFirstColumn="0" w:firstRowLastColumn="0" w:lastRowFirstColumn="0" w:lastRowLastColumn="0"/>
            </w:pPr>
            <w:r>
              <w:rPr>
                <w:b/>
                <w:bCs/>
                <w:color w:val="000000"/>
              </w:rPr>
              <w:t>Escalation rate</w:t>
            </w:r>
          </w:p>
        </w:tc>
        <w:tc>
          <w:tcPr>
            <w:tcW w:w="0" w:type="auto"/>
            <w:tcBorders>
              <w:top w:val="nil"/>
              <w:left w:val="nil"/>
              <w:bottom w:val="single" w:sz="8" w:space="0" w:color="6AA84F"/>
              <w:right w:val="single" w:sz="8" w:space="0" w:color="6AA84F"/>
            </w:tcBorders>
            <w:shd w:val="clear" w:color="auto" w:fill="D9EAD3"/>
            <w:hideMark/>
          </w:tcPr>
          <w:p w14:paraId="22479A1E" w14:textId="77777777" w:rsidR="00E97649" w:rsidRDefault="00E97649">
            <w:pPr>
              <w:spacing w:after="160"/>
              <w:cnfStyle w:val="000000100000" w:firstRow="0" w:lastRow="0" w:firstColumn="0" w:lastColumn="0" w:oddVBand="0" w:evenVBand="0" w:oddHBand="1" w:evenHBand="0" w:firstRowFirstColumn="0" w:firstRowLastColumn="0" w:lastRowFirstColumn="0" w:lastRowLastColumn="0"/>
            </w:pPr>
            <w:r>
              <w:rPr>
                <w:color w:val="000000"/>
              </w:rPr>
              <w:t>2026: 21.6%; 2025: 7.0%. Increase of 14.6 percentage points.</w:t>
            </w:r>
          </w:p>
        </w:tc>
      </w:tr>
      <w:tr w:rsidR="00E97649" w14:paraId="1A8B2D0B" w14:textId="77777777">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6AA84F"/>
              <w:bottom w:val="single" w:sz="8" w:space="0" w:color="6AA84F"/>
              <w:right w:val="single" w:sz="8" w:space="0" w:color="6AA84F"/>
            </w:tcBorders>
            <w:hideMark/>
          </w:tcPr>
          <w:p w14:paraId="2CB5B145" w14:textId="77777777" w:rsidR="00E97649" w:rsidRDefault="00E97649">
            <w:pPr>
              <w:spacing w:after="160"/>
            </w:pPr>
            <w:r>
              <w:t>Responses within timescale</w:t>
            </w:r>
          </w:p>
        </w:tc>
        <w:tc>
          <w:tcPr>
            <w:tcW w:w="0" w:type="auto"/>
            <w:tcBorders>
              <w:top w:val="nil"/>
              <w:left w:val="nil"/>
              <w:bottom w:val="single" w:sz="8" w:space="0" w:color="6AA84F"/>
              <w:right w:val="single" w:sz="8" w:space="0" w:color="6AA84F"/>
            </w:tcBorders>
            <w:hideMark/>
          </w:tcPr>
          <w:p w14:paraId="515E7091" w14:textId="77777777" w:rsidR="00E97649" w:rsidRDefault="00E97649">
            <w:pPr>
              <w:spacing w:after="160"/>
              <w:cnfStyle w:val="000000000000" w:firstRow="0" w:lastRow="0" w:firstColumn="0" w:lastColumn="0" w:oddVBand="0" w:evenVBand="0" w:oddHBand="0" w:evenHBand="0" w:firstRowFirstColumn="0" w:firstRowLastColumn="0" w:lastRowFirstColumn="0" w:lastRowLastColumn="0"/>
            </w:pPr>
            <w:r>
              <w:t>100% of closed cases with recorded closure dates met target response dates.</w:t>
            </w:r>
          </w:p>
        </w:tc>
        <w:tc>
          <w:tcPr>
            <w:tcW w:w="0" w:type="auto"/>
            <w:tcBorders>
              <w:top w:val="nil"/>
              <w:left w:val="nil"/>
              <w:bottom w:val="single" w:sz="8" w:space="0" w:color="6AA84F"/>
              <w:right w:val="single" w:sz="8" w:space="0" w:color="6AA84F"/>
            </w:tcBorders>
            <w:hideMark/>
          </w:tcPr>
          <w:p w14:paraId="2F1155F9" w14:textId="77777777" w:rsidR="00E97649" w:rsidRDefault="00E97649">
            <w:pPr>
              <w:spacing w:after="160"/>
              <w:cnfStyle w:val="000000000000" w:firstRow="0" w:lastRow="0" w:firstColumn="0" w:lastColumn="0" w:oddVBand="0" w:evenVBand="0" w:oddHBand="0" w:evenHBand="0" w:firstRowFirstColumn="0" w:firstRowLastColumn="0" w:lastRowFirstColumn="0" w:lastRowLastColumn="0"/>
            </w:pPr>
            <w:r>
              <w:rPr>
                <w:b/>
                <w:bCs/>
              </w:rPr>
              <w:t>Previous year timeliness</w:t>
            </w:r>
          </w:p>
        </w:tc>
        <w:tc>
          <w:tcPr>
            <w:tcW w:w="0" w:type="auto"/>
            <w:tcBorders>
              <w:top w:val="nil"/>
              <w:left w:val="nil"/>
              <w:bottom w:val="single" w:sz="8" w:space="0" w:color="6AA84F"/>
              <w:right w:val="single" w:sz="8" w:space="0" w:color="6AA84F"/>
            </w:tcBorders>
            <w:hideMark/>
          </w:tcPr>
          <w:p w14:paraId="471C0F7E" w14:textId="77777777" w:rsidR="00E97649" w:rsidRDefault="00E97649">
            <w:pPr>
              <w:spacing w:after="160"/>
              <w:cnfStyle w:val="000000000000" w:firstRow="0" w:lastRow="0" w:firstColumn="0" w:lastColumn="0" w:oddVBand="0" w:evenVBand="0" w:oddHBand="0" w:evenHBand="0" w:firstRowFirstColumn="0" w:firstRowLastColumn="0" w:lastRowFirstColumn="0" w:lastRowLastColumn="0"/>
            </w:pPr>
            <w:r>
              <w:t>April to June 2025: 95.3% of closed cases with recorded closure dates met target response dates; 2 late responses recorded.</w:t>
            </w:r>
          </w:p>
        </w:tc>
      </w:tr>
      <w:tr w:rsidR="00E97649" w14:paraId="41C3EB5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6AA84F"/>
              <w:bottom w:val="single" w:sz="8" w:space="0" w:color="6AA84F"/>
              <w:right w:val="single" w:sz="8" w:space="0" w:color="6AA84F"/>
            </w:tcBorders>
            <w:shd w:val="clear" w:color="auto" w:fill="D9EAD3"/>
            <w:hideMark/>
          </w:tcPr>
          <w:p w14:paraId="684BB16C" w14:textId="77777777" w:rsidR="00E97649" w:rsidRDefault="00E97649">
            <w:pPr>
              <w:spacing w:after="160"/>
            </w:pPr>
            <w:r>
              <w:rPr>
                <w:color w:val="000000"/>
              </w:rPr>
              <w:t>Main complaint theme</w:t>
            </w:r>
          </w:p>
        </w:tc>
        <w:tc>
          <w:tcPr>
            <w:tcW w:w="0" w:type="auto"/>
            <w:tcBorders>
              <w:top w:val="nil"/>
              <w:left w:val="nil"/>
              <w:bottom w:val="single" w:sz="8" w:space="0" w:color="6AA84F"/>
              <w:right w:val="single" w:sz="8" w:space="0" w:color="6AA84F"/>
            </w:tcBorders>
            <w:shd w:val="clear" w:color="auto" w:fill="D9EAD3"/>
            <w:hideMark/>
          </w:tcPr>
          <w:p w14:paraId="3AE25F71" w14:textId="77777777" w:rsidR="00E97649" w:rsidRDefault="00E97649">
            <w:pPr>
              <w:spacing w:after="160"/>
              <w:cnfStyle w:val="000000100000" w:firstRow="0" w:lastRow="0" w:firstColumn="0" w:lastColumn="0" w:oddVBand="0" w:evenVBand="0" w:oddHBand="1" w:evenHBand="0" w:firstRowFirstColumn="0" w:firstRowLastColumn="0" w:lastRowFirstColumn="0" w:lastRowLastColumn="0"/>
            </w:pPr>
            <w:r>
              <w:rPr>
                <w:color w:val="000000"/>
              </w:rPr>
              <w:t>DSO Building Management repairs, damp and mould, property condition and contractor communication.</w:t>
            </w:r>
          </w:p>
        </w:tc>
        <w:tc>
          <w:tcPr>
            <w:tcW w:w="0" w:type="auto"/>
            <w:tcBorders>
              <w:top w:val="nil"/>
              <w:left w:val="nil"/>
              <w:bottom w:val="single" w:sz="8" w:space="0" w:color="6AA84F"/>
              <w:right w:val="single" w:sz="8" w:space="0" w:color="6AA84F"/>
            </w:tcBorders>
            <w:shd w:val="clear" w:color="auto" w:fill="D9EAD3"/>
            <w:hideMark/>
          </w:tcPr>
          <w:p w14:paraId="19743869" w14:textId="77777777" w:rsidR="00E97649" w:rsidRDefault="00E97649">
            <w:pPr>
              <w:spacing w:after="160"/>
              <w:cnfStyle w:val="000000100000" w:firstRow="0" w:lastRow="0" w:firstColumn="0" w:lastColumn="0" w:oddVBand="0" w:evenVBand="0" w:oddHBand="1" w:evenHBand="0" w:firstRowFirstColumn="0" w:firstRowLastColumn="0" w:lastRowFirstColumn="0" w:lastRowLastColumn="0"/>
            </w:pPr>
            <w:r>
              <w:rPr>
                <w:b/>
                <w:bCs/>
                <w:color w:val="000000"/>
              </w:rPr>
              <w:t>Previous year theme</w:t>
            </w:r>
          </w:p>
        </w:tc>
        <w:tc>
          <w:tcPr>
            <w:tcW w:w="0" w:type="auto"/>
            <w:tcBorders>
              <w:top w:val="nil"/>
              <w:left w:val="nil"/>
              <w:bottom w:val="single" w:sz="8" w:space="0" w:color="6AA84F"/>
              <w:right w:val="single" w:sz="8" w:space="0" w:color="6AA84F"/>
            </w:tcBorders>
            <w:shd w:val="clear" w:color="auto" w:fill="D9EAD3"/>
            <w:hideMark/>
          </w:tcPr>
          <w:p w14:paraId="1AA4DD21" w14:textId="77777777" w:rsidR="00E97649" w:rsidRDefault="00E97649">
            <w:pPr>
              <w:spacing w:after="160"/>
              <w:cnfStyle w:val="000000100000" w:firstRow="0" w:lastRow="0" w:firstColumn="0" w:lastColumn="0" w:oddVBand="0" w:evenVBand="0" w:oddHBand="1" w:evenHBand="0" w:firstRowFirstColumn="0" w:firstRowLastColumn="0" w:lastRowFirstColumn="0" w:lastRowLastColumn="0"/>
            </w:pPr>
            <w:r>
              <w:rPr>
                <w:color w:val="000000"/>
              </w:rPr>
              <w:t>Similar themes were present in 2025: Right to Buy delays, repairs/property condition, communication failures, ASB case handling and staff conduct.</w:t>
            </w:r>
          </w:p>
        </w:tc>
      </w:tr>
    </w:tbl>
    <w:p w14:paraId="14338455" w14:textId="77777777" w:rsidR="0077088B" w:rsidRDefault="0077088B">
      <w:pPr>
        <w:pStyle w:val="Heading1"/>
        <w:rPr>
          <w:rFonts w:cstheme="minorBidi"/>
          <w:lang w:eastAsia="en-GB"/>
        </w:rPr>
      </w:pPr>
      <w:r>
        <w:rPr>
          <w:rFonts w:cstheme="minorBidi"/>
        </w:rPr>
        <w:t>3. Complaints Performance Measures</w:t>
      </w:r>
    </w:p>
    <w:tbl>
      <w:tblPr>
        <w:tblStyle w:val="GridTable4-Accent1"/>
        <w:tblW w:w="0" w:type="auto"/>
        <w:tblLook w:val="04A0" w:firstRow="1" w:lastRow="0" w:firstColumn="1" w:lastColumn="0" w:noHBand="0" w:noVBand="1"/>
      </w:tblPr>
      <w:tblGrid>
        <w:gridCol w:w="1516"/>
        <w:gridCol w:w="2752"/>
        <w:gridCol w:w="2959"/>
        <w:gridCol w:w="1432"/>
        <w:gridCol w:w="2385"/>
        <w:gridCol w:w="2894"/>
      </w:tblGrid>
      <w:tr w:rsidR="002E230D" w14:paraId="30A4EEB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6AA84F"/>
              <w:left w:val="single" w:sz="8" w:space="0" w:color="6AA84F"/>
              <w:bottom w:val="single" w:sz="8" w:space="0" w:color="6AA84F"/>
              <w:right w:val="single" w:sz="8" w:space="0" w:color="6AA84F"/>
            </w:tcBorders>
            <w:shd w:val="clear" w:color="auto" w:fill="2F6B3F"/>
            <w:hideMark/>
          </w:tcPr>
          <w:p w14:paraId="5059549A" w14:textId="77777777" w:rsidR="002E230D" w:rsidRDefault="002E230D">
            <w:pPr>
              <w:spacing w:after="160"/>
              <w:rPr>
                <w:lang w:eastAsia="en-GB"/>
              </w:rPr>
            </w:pPr>
            <w:r>
              <w:t>KPI</w:t>
            </w:r>
          </w:p>
        </w:tc>
        <w:tc>
          <w:tcPr>
            <w:tcW w:w="0" w:type="auto"/>
            <w:tcBorders>
              <w:top w:val="single" w:sz="8" w:space="0" w:color="6AA84F"/>
              <w:bottom w:val="single" w:sz="8" w:space="0" w:color="6AA84F"/>
              <w:right w:val="single" w:sz="8" w:space="0" w:color="6AA84F"/>
            </w:tcBorders>
            <w:shd w:val="clear" w:color="auto" w:fill="2F6B3F"/>
            <w:hideMark/>
          </w:tcPr>
          <w:p w14:paraId="0E0F771C" w14:textId="77777777" w:rsidR="002E230D" w:rsidRDefault="002E230D">
            <w:pPr>
              <w:spacing w:after="160"/>
              <w:cnfStyle w:val="100000000000" w:firstRow="1" w:lastRow="0" w:firstColumn="0" w:lastColumn="0" w:oddVBand="0" w:evenVBand="0" w:oddHBand="0" w:evenHBand="0" w:firstRowFirstColumn="0" w:firstRowLastColumn="0" w:lastRowFirstColumn="0" w:lastRowLastColumn="0"/>
            </w:pPr>
            <w:r>
              <w:t>Quarter result</w:t>
            </w:r>
          </w:p>
        </w:tc>
        <w:tc>
          <w:tcPr>
            <w:tcW w:w="0" w:type="auto"/>
            <w:tcBorders>
              <w:top w:val="single" w:sz="8" w:space="0" w:color="6AA84F"/>
              <w:bottom w:val="single" w:sz="8" w:space="0" w:color="6AA84F"/>
              <w:right w:val="single" w:sz="8" w:space="0" w:color="6AA84F"/>
            </w:tcBorders>
            <w:shd w:val="clear" w:color="auto" w:fill="2F6B3F"/>
            <w:hideMark/>
          </w:tcPr>
          <w:p w14:paraId="02591483" w14:textId="77777777" w:rsidR="002E230D" w:rsidRDefault="002E230D">
            <w:pPr>
              <w:spacing w:after="160"/>
              <w:cnfStyle w:val="100000000000" w:firstRow="1" w:lastRow="0" w:firstColumn="0" w:lastColumn="0" w:oddVBand="0" w:evenVBand="0" w:oddHBand="0" w:evenHBand="0" w:firstRowFirstColumn="0" w:firstRowLastColumn="0" w:lastRowFirstColumn="0" w:lastRowLastColumn="0"/>
            </w:pPr>
            <w:r>
              <w:t>Previous year comparison</w:t>
            </w:r>
          </w:p>
        </w:tc>
        <w:tc>
          <w:tcPr>
            <w:tcW w:w="0" w:type="auto"/>
            <w:tcBorders>
              <w:top w:val="single" w:sz="8" w:space="0" w:color="6AA84F"/>
              <w:bottom w:val="single" w:sz="8" w:space="0" w:color="6AA84F"/>
              <w:right w:val="single" w:sz="8" w:space="0" w:color="6AA84F"/>
            </w:tcBorders>
            <w:shd w:val="clear" w:color="auto" w:fill="2F6B3F"/>
            <w:hideMark/>
          </w:tcPr>
          <w:p w14:paraId="2E74A6EE" w14:textId="77777777" w:rsidR="002E230D" w:rsidRDefault="002E230D">
            <w:pPr>
              <w:spacing w:after="160"/>
              <w:cnfStyle w:val="100000000000" w:firstRow="1" w:lastRow="0" w:firstColumn="0" w:lastColumn="0" w:oddVBand="0" w:evenVBand="0" w:oddHBand="0" w:evenHBand="0" w:firstRowFirstColumn="0" w:firstRowLastColumn="0" w:lastRowFirstColumn="0" w:lastRowLastColumn="0"/>
            </w:pPr>
            <w:r>
              <w:t>Direction of travel</w:t>
            </w:r>
          </w:p>
        </w:tc>
        <w:tc>
          <w:tcPr>
            <w:tcW w:w="0" w:type="auto"/>
            <w:tcBorders>
              <w:top w:val="single" w:sz="8" w:space="0" w:color="6AA84F"/>
              <w:bottom w:val="single" w:sz="8" w:space="0" w:color="6AA84F"/>
              <w:right w:val="single" w:sz="8" w:space="0" w:color="6AA84F"/>
            </w:tcBorders>
            <w:shd w:val="clear" w:color="auto" w:fill="2F6B3F"/>
            <w:hideMark/>
          </w:tcPr>
          <w:p w14:paraId="4C34BAED" w14:textId="77777777" w:rsidR="002E230D" w:rsidRDefault="002E230D">
            <w:pPr>
              <w:spacing w:after="160"/>
              <w:cnfStyle w:val="100000000000" w:firstRow="1" w:lastRow="0" w:firstColumn="0" w:lastColumn="0" w:oddVBand="0" w:evenVBand="0" w:oddHBand="0" w:evenHBand="0" w:firstRowFirstColumn="0" w:firstRowLastColumn="0" w:lastRowFirstColumn="0" w:lastRowLastColumn="0"/>
            </w:pPr>
            <w:r>
              <w:t>Target / expectation</w:t>
            </w:r>
          </w:p>
        </w:tc>
        <w:tc>
          <w:tcPr>
            <w:tcW w:w="0" w:type="auto"/>
            <w:tcBorders>
              <w:top w:val="single" w:sz="8" w:space="0" w:color="6AA84F"/>
              <w:bottom w:val="single" w:sz="8" w:space="0" w:color="6AA84F"/>
              <w:right w:val="single" w:sz="8" w:space="0" w:color="6AA84F"/>
            </w:tcBorders>
            <w:shd w:val="clear" w:color="auto" w:fill="2F6B3F"/>
            <w:hideMark/>
          </w:tcPr>
          <w:p w14:paraId="1DF3E500" w14:textId="77777777" w:rsidR="002E230D" w:rsidRDefault="002E230D">
            <w:pPr>
              <w:spacing w:after="160"/>
              <w:cnfStyle w:val="100000000000" w:firstRow="1" w:lastRow="0" w:firstColumn="0" w:lastColumn="0" w:oddVBand="0" w:evenVBand="0" w:oddHBand="0" w:evenHBand="0" w:firstRowFirstColumn="0" w:firstRowLastColumn="0" w:lastRowFirstColumn="0" w:lastRowLastColumn="0"/>
            </w:pPr>
            <w:r>
              <w:t>Commentary and action</w:t>
            </w:r>
          </w:p>
        </w:tc>
      </w:tr>
      <w:tr w:rsidR="002E230D" w14:paraId="2C5EFBC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6AA84F"/>
              <w:bottom w:val="single" w:sz="8" w:space="0" w:color="6AA84F"/>
              <w:right w:val="single" w:sz="8" w:space="0" w:color="6AA84F"/>
            </w:tcBorders>
            <w:shd w:val="clear" w:color="auto" w:fill="D9EAD3"/>
            <w:hideMark/>
          </w:tcPr>
          <w:p w14:paraId="4267BC46" w14:textId="77777777" w:rsidR="002E230D" w:rsidRDefault="002E230D">
            <w:pPr>
              <w:spacing w:after="160"/>
            </w:pPr>
            <w:r>
              <w:rPr>
                <w:color w:val="000000"/>
              </w:rPr>
              <w:t>Stage 1 response timeliness</w:t>
            </w:r>
          </w:p>
        </w:tc>
        <w:tc>
          <w:tcPr>
            <w:tcW w:w="0" w:type="auto"/>
            <w:tcBorders>
              <w:top w:val="nil"/>
              <w:left w:val="nil"/>
              <w:bottom w:val="single" w:sz="8" w:space="0" w:color="6AA84F"/>
              <w:right w:val="single" w:sz="8" w:space="0" w:color="6AA84F"/>
            </w:tcBorders>
            <w:shd w:val="clear" w:color="auto" w:fill="D9EAD3"/>
            <w:hideMark/>
          </w:tcPr>
          <w:p w14:paraId="20AEADB0" w14:textId="77777777" w:rsidR="002E230D" w:rsidRDefault="002E230D">
            <w:pPr>
              <w:spacing w:after="160"/>
              <w:cnfStyle w:val="000000100000" w:firstRow="0" w:lastRow="0" w:firstColumn="0" w:lastColumn="0" w:oddVBand="0" w:evenVBand="0" w:oddHBand="1" w:evenHBand="0" w:firstRowFirstColumn="0" w:firstRowLastColumn="0" w:lastRowFirstColumn="0" w:lastRowLastColumn="0"/>
            </w:pPr>
            <w:r>
              <w:rPr>
                <w:color w:val="000000"/>
              </w:rPr>
              <w:t>100% of closed Stage 1 cases with recorded closure dates met target dates.</w:t>
            </w:r>
          </w:p>
        </w:tc>
        <w:tc>
          <w:tcPr>
            <w:tcW w:w="0" w:type="auto"/>
            <w:tcBorders>
              <w:top w:val="nil"/>
              <w:left w:val="nil"/>
              <w:bottom w:val="single" w:sz="8" w:space="0" w:color="6AA84F"/>
              <w:right w:val="single" w:sz="8" w:space="0" w:color="6AA84F"/>
            </w:tcBorders>
            <w:shd w:val="clear" w:color="auto" w:fill="D9EAD3"/>
            <w:hideMark/>
          </w:tcPr>
          <w:p w14:paraId="6849EDC3" w14:textId="77777777" w:rsidR="002E230D" w:rsidRDefault="002E230D">
            <w:pPr>
              <w:spacing w:after="160"/>
              <w:cnfStyle w:val="000000100000" w:firstRow="0" w:lastRow="0" w:firstColumn="0" w:lastColumn="0" w:oddVBand="0" w:evenVBand="0" w:oddHBand="1" w:evenHBand="0" w:firstRowFirstColumn="0" w:firstRowLastColumn="0" w:lastRowFirstColumn="0" w:lastRowLastColumn="0"/>
            </w:pPr>
            <w:r>
              <w:rPr>
                <w:color w:val="000000"/>
              </w:rPr>
              <w:t xml:space="preserve">April to June 2025: 95.0% of Stage 1 closed cases met target dates; 2 </w:t>
            </w:r>
            <w:proofErr w:type="gramStart"/>
            <w:r>
              <w:rPr>
                <w:color w:val="000000"/>
              </w:rPr>
              <w:t>late Stage</w:t>
            </w:r>
            <w:proofErr w:type="gramEnd"/>
            <w:r>
              <w:rPr>
                <w:color w:val="000000"/>
              </w:rPr>
              <w:t xml:space="preserve"> 1 responses recorded.</w:t>
            </w:r>
          </w:p>
        </w:tc>
        <w:tc>
          <w:tcPr>
            <w:tcW w:w="0" w:type="auto"/>
            <w:tcBorders>
              <w:top w:val="nil"/>
              <w:left w:val="nil"/>
              <w:bottom w:val="single" w:sz="8" w:space="0" w:color="6AA84F"/>
              <w:right w:val="single" w:sz="8" w:space="0" w:color="6AA84F"/>
            </w:tcBorders>
            <w:shd w:val="clear" w:color="auto" w:fill="D9EAD3"/>
            <w:hideMark/>
          </w:tcPr>
          <w:p w14:paraId="77332DD9" w14:textId="77777777" w:rsidR="002E230D" w:rsidRDefault="002E230D">
            <w:pPr>
              <w:spacing w:after="160"/>
              <w:cnfStyle w:val="000000100000" w:firstRow="0" w:lastRow="0" w:firstColumn="0" w:lastColumn="0" w:oddVBand="0" w:evenVBand="0" w:oddHBand="1" w:evenHBand="0" w:firstRowFirstColumn="0" w:firstRowLastColumn="0" w:lastRowFirstColumn="0" w:lastRowLastColumn="0"/>
            </w:pPr>
            <w:r>
              <w:rPr>
                <w:color w:val="000000"/>
              </w:rPr>
              <w:t>Improved</w:t>
            </w:r>
          </w:p>
        </w:tc>
        <w:tc>
          <w:tcPr>
            <w:tcW w:w="0" w:type="auto"/>
            <w:tcBorders>
              <w:top w:val="nil"/>
              <w:left w:val="nil"/>
              <w:bottom w:val="single" w:sz="8" w:space="0" w:color="6AA84F"/>
              <w:right w:val="single" w:sz="8" w:space="0" w:color="6AA84F"/>
            </w:tcBorders>
            <w:shd w:val="clear" w:color="auto" w:fill="D9EAD3"/>
            <w:hideMark/>
          </w:tcPr>
          <w:p w14:paraId="0172E023" w14:textId="77777777" w:rsidR="002E230D" w:rsidRDefault="002E230D">
            <w:pPr>
              <w:spacing w:after="160"/>
              <w:cnfStyle w:val="000000100000" w:firstRow="0" w:lastRow="0" w:firstColumn="0" w:lastColumn="0" w:oddVBand="0" w:evenVBand="0" w:oddHBand="1" w:evenHBand="0" w:firstRowFirstColumn="0" w:firstRowLastColumn="0" w:lastRowFirstColumn="0" w:lastRowLastColumn="0"/>
            </w:pPr>
            <w:r>
              <w:rPr>
                <w:color w:val="000000"/>
              </w:rPr>
              <w:t>Maintain compliance with the Complaint Handling Code and monitor open cases before target dates pass.</w:t>
            </w:r>
          </w:p>
        </w:tc>
        <w:tc>
          <w:tcPr>
            <w:tcW w:w="0" w:type="auto"/>
            <w:tcBorders>
              <w:top w:val="nil"/>
              <w:left w:val="nil"/>
              <w:bottom w:val="single" w:sz="8" w:space="0" w:color="6AA84F"/>
              <w:right w:val="single" w:sz="8" w:space="0" w:color="6AA84F"/>
            </w:tcBorders>
            <w:shd w:val="clear" w:color="auto" w:fill="D9EAD3"/>
            <w:hideMark/>
          </w:tcPr>
          <w:p w14:paraId="2F0D4D66" w14:textId="77777777" w:rsidR="002E230D" w:rsidRDefault="002E230D">
            <w:pPr>
              <w:spacing w:after="160"/>
              <w:cnfStyle w:val="000000100000" w:firstRow="0" w:lastRow="0" w:firstColumn="0" w:lastColumn="0" w:oddVBand="0" w:evenVBand="0" w:oddHBand="1" w:evenHBand="0" w:firstRowFirstColumn="0" w:firstRowLastColumn="0" w:lastRowFirstColumn="0" w:lastRowLastColumn="0"/>
            </w:pPr>
            <w:r>
              <w:rPr>
                <w:color w:val="000000"/>
              </w:rPr>
              <w:t>Timeliness has improved compared with the same quarter last year. Continued weekly monitoring is required because current-quarter open cases still need active oversight.</w:t>
            </w:r>
          </w:p>
        </w:tc>
      </w:tr>
      <w:tr w:rsidR="002E230D" w14:paraId="77352634" w14:textId="77777777">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6AA84F"/>
              <w:bottom w:val="single" w:sz="8" w:space="0" w:color="6AA84F"/>
              <w:right w:val="single" w:sz="8" w:space="0" w:color="6AA84F"/>
            </w:tcBorders>
            <w:hideMark/>
          </w:tcPr>
          <w:p w14:paraId="52ECD4D8" w14:textId="77777777" w:rsidR="002E230D" w:rsidRDefault="002E230D">
            <w:pPr>
              <w:spacing w:after="160"/>
            </w:pPr>
            <w:r>
              <w:t>Stage 2 response timeliness</w:t>
            </w:r>
          </w:p>
        </w:tc>
        <w:tc>
          <w:tcPr>
            <w:tcW w:w="0" w:type="auto"/>
            <w:tcBorders>
              <w:top w:val="nil"/>
              <w:left w:val="nil"/>
              <w:bottom w:val="single" w:sz="8" w:space="0" w:color="6AA84F"/>
              <w:right w:val="single" w:sz="8" w:space="0" w:color="6AA84F"/>
            </w:tcBorders>
            <w:hideMark/>
          </w:tcPr>
          <w:p w14:paraId="62AE4DBA" w14:textId="77777777" w:rsidR="002E230D" w:rsidRDefault="002E230D">
            <w:pPr>
              <w:spacing w:after="160"/>
              <w:cnfStyle w:val="000000000000" w:firstRow="0" w:lastRow="0" w:firstColumn="0" w:lastColumn="0" w:oddVBand="0" w:evenVBand="0" w:oddHBand="0" w:evenHBand="0" w:firstRowFirstColumn="0" w:firstRowLastColumn="0" w:lastRowFirstColumn="0" w:lastRowLastColumn="0"/>
            </w:pPr>
            <w:r>
              <w:t>100% of closed Stage 2 cases with recorded closure dates met target dates.</w:t>
            </w:r>
          </w:p>
        </w:tc>
        <w:tc>
          <w:tcPr>
            <w:tcW w:w="0" w:type="auto"/>
            <w:tcBorders>
              <w:top w:val="nil"/>
              <w:left w:val="nil"/>
              <w:bottom w:val="single" w:sz="8" w:space="0" w:color="6AA84F"/>
              <w:right w:val="single" w:sz="8" w:space="0" w:color="6AA84F"/>
            </w:tcBorders>
            <w:hideMark/>
          </w:tcPr>
          <w:p w14:paraId="53E8C644" w14:textId="77777777" w:rsidR="002E230D" w:rsidRDefault="002E230D">
            <w:pPr>
              <w:spacing w:after="160"/>
              <w:cnfStyle w:val="000000000000" w:firstRow="0" w:lastRow="0" w:firstColumn="0" w:lastColumn="0" w:oddVBand="0" w:evenVBand="0" w:oddHBand="0" w:evenHBand="0" w:firstRowFirstColumn="0" w:firstRowLastColumn="0" w:lastRowFirstColumn="0" w:lastRowLastColumn="0"/>
            </w:pPr>
            <w:r>
              <w:t>April to June 2025: 100% of Stage 2 closed cases met target dates.</w:t>
            </w:r>
          </w:p>
        </w:tc>
        <w:tc>
          <w:tcPr>
            <w:tcW w:w="0" w:type="auto"/>
            <w:tcBorders>
              <w:top w:val="nil"/>
              <w:left w:val="nil"/>
              <w:bottom w:val="single" w:sz="8" w:space="0" w:color="6AA84F"/>
              <w:right w:val="single" w:sz="8" w:space="0" w:color="6AA84F"/>
            </w:tcBorders>
            <w:hideMark/>
          </w:tcPr>
          <w:p w14:paraId="240AF58C" w14:textId="77777777" w:rsidR="002E230D" w:rsidRDefault="002E230D">
            <w:pPr>
              <w:spacing w:after="160"/>
              <w:cnfStyle w:val="000000000000" w:firstRow="0" w:lastRow="0" w:firstColumn="0" w:lastColumn="0" w:oddVBand="0" w:evenVBand="0" w:oddHBand="0" w:evenHBand="0" w:firstRowFirstColumn="0" w:firstRowLastColumn="0" w:lastRowFirstColumn="0" w:lastRowLastColumn="0"/>
            </w:pPr>
            <w:r>
              <w:t>Maintained</w:t>
            </w:r>
          </w:p>
        </w:tc>
        <w:tc>
          <w:tcPr>
            <w:tcW w:w="0" w:type="auto"/>
            <w:tcBorders>
              <w:top w:val="nil"/>
              <w:left w:val="nil"/>
              <w:bottom w:val="single" w:sz="8" w:space="0" w:color="6AA84F"/>
              <w:right w:val="single" w:sz="8" w:space="0" w:color="6AA84F"/>
            </w:tcBorders>
            <w:hideMark/>
          </w:tcPr>
          <w:p w14:paraId="537AC357" w14:textId="77777777" w:rsidR="002E230D" w:rsidRDefault="002E230D">
            <w:pPr>
              <w:spacing w:after="160"/>
              <w:cnfStyle w:val="000000000000" w:firstRow="0" w:lastRow="0" w:firstColumn="0" w:lastColumn="0" w:oddVBand="0" w:evenVBand="0" w:oddHBand="0" w:evenHBand="0" w:firstRowFirstColumn="0" w:firstRowLastColumn="0" w:lastRowFirstColumn="0" w:lastRowLastColumn="0"/>
            </w:pPr>
            <w:r>
              <w:t>Maintain Stage 2 timeliness and reduce avoidable escalation.</w:t>
            </w:r>
          </w:p>
        </w:tc>
        <w:tc>
          <w:tcPr>
            <w:tcW w:w="0" w:type="auto"/>
            <w:tcBorders>
              <w:top w:val="nil"/>
              <w:left w:val="nil"/>
              <w:bottom w:val="single" w:sz="8" w:space="0" w:color="6AA84F"/>
              <w:right w:val="single" w:sz="8" w:space="0" w:color="6AA84F"/>
            </w:tcBorders>
            <w:hideMark/>
          </w:tcPr>
          <w:p w14:paraId="27A4C563" w14:textId="68F25864" w:rsidR="002E230D" w:rsidRDefault="002E230D">
            <w:pPr>
              <w:spacing w:after="160"/>
              <w:cnfStyle w:val="000000000000" w:firstRow="0" w:lastRow="0" w:firstColumn="0" w:lastColumn="0" w:oddVBand="0" w:evenVBand="0" w:oddHBand="0" w:evenHBand="0" w:firstRowFirstColumn="0" w:firstRowLastColumn="0" w:lastRowFirstColumn="0" w:lastRowLastColumn="0"/>
            </w:pPr>
            <w:r>
              <w:t xml:space="preserve">Although timeliness is maintained, the volume of Stage 2 complaints has increased significantly year on year, so attention </w:t>
            </w:r>
            <w:r w:rsidR="00F43603">
              <w:t xml:space="preserve">needs </w:t>
            </w:r>
            <w:r w:rsidR="00F43603">
              <w:lastRenderedPageBreak/>
              <w:t xml:space="preserve">to </w:t>
            </w:r>
            <w:r>
              <w:t>focus on Stage 1 resolution quality and early action tracking.</w:t>
            </w:r>
          </w:p>
        </w:tc>
      </w:tr>
      <w:tr w:rsidR="002E230D" w14:paraId="26F7878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6AA84F"/>
              <w:bottom w:val="single" w:sz="8" w:space="0" w:color="6AA84F"/>
              <w:right w:val="single" w:sz="8" w:space="0" w:color="6AA84F"/>
            </w:tcBorders>
            <w:shd w:val="clear" w:color="auto" w:fill="D9EAD3"/>
            <w:hideMark/>
          </w:tcPr>
          <w:p w14:paraId="4D077E6B" w14:textId="77777777" w:rsidR="002E230D" w:rsidRDefault="002E230D">
            <w:pPr>
              <w:spacing w:after="160"/>
            </w:pPr>
            <w:r>
              <w:rPr>
                <w:color w:val="000000"/>
              </w:rPr>
              <w:lastRenderedPageBreak/>
              <w:t>Late complaint responses</w:t>
            </w:r>
          </w:p>
        </w:tc>
        <w:tc>
          <w:tcPr>
            <w:tcW w:w="0" w:type="auto"/>
            <w:tcBorders>
              <w:top w:val="nil"/>
              <w:left w:val="nil"/>
              <w:bottom w:val="single" w:sz="8" w:space="0" w:color="6AA84F"/>
              <w:right w:val="single" w:sz="8" w:space="0" w:color="6AA84F"/>
            </w:tcBorders>
            <w:shd w:val="clear" w:color="auto" w:fill="D9EAD3"/>
            <w:hideMark/>
          </w:tcPr>
          <w:p w14:paraId="3389AD82" w14:textId="77777777" w:rsidR="002E230D" w:rsidRDefault="002E230D">
            <w:pPr>
              <w:spacing w:after="160"/>
              <w:cnfStyle w:val="000000100000" w:firstRow="0" w:lastRow="0" w:firstColumn="0" w:lastColumn="0" w:oddVBand="0" w:evenVBand="0" w:oddHBand="1" w:evenHBand="0" w:firstRowFirstColumn="0" w:firstRowLastColumn="0" w:lastRowFirstColumn="0" w:lastRowLastColumn="0"/>
            </w:pPr>
            <w:r>
              <w:rPr>
                <w:color w:val="000000"/>
              </w:rPr>
              <w:t>0 recorded late closed cases.</w:t>
            </w:r>
          </w:p>
        </w:tc>
        <w:tc>
          <w:tcPr>
            <w:tcW w:w="0" w:type="auto"/>
            <w:tcBorders>
              <w:top w:val="nil"/>
              <w:left w:val="nil"/>
              <w:bottom w:val="single" w:sz="8" w:space="0" w:color="6AA84F"/>
              <w:right w:val="single" w:sz="8" w:space="0" w:color="6AA84F"/>
            </w:tcBorders>
            <w:shd w:val="clear" w:color="auto" w:fill="D9EAD3"/>
            <w:hideMark/>
          </w:tcPr>
          <w:p w14:paraId="43D21783" w14:textId="77777777" w:rsidR="002E230D" w:rsidRDefault="002E230D">
            <w:pPr>
              <w:spacing w:after="160"/>
              <w:cnfStyle w:val="000000100000" w:firstRow="0" w:lastRow="0" w:firstColumn="0" w:lastColumn="0" w:oddVBand="0" w:evenVBand="0" w:oddHBand="1" w:evenHBand="0" w:firstRowFirstColumn="0" w:firstRowLastColumn="0" w:lastRowFirstColumn="0" w:lastRowLastColumn="0"/>
            </w:pPr>
            <w:r>
              <w:rPr>
                <w:color w:val="000000"/>
              </w:rPr>
              <w:t>April to June 2025: 2 late responses recorded.</w:t>
            </w:r>
          </w:p>
        </w:tc>
        <w:tc>
          <w:tcPr>
            <w:tcW w:w="0" w:type="auto"/>
            <w:tcBorders>
              <w:top w:val="nil"/>
              <w:left w:val="nil"/>
              <w:bottom w:val="single" w:sz="8" w:space="0" w:color="6AA84F"/>
              <w:right w:val="single" w:sz="8" w:space="0" w:color="6AA84F"/>
            </w:tcBorders>
            <w:shd w:val="clear" w:color="auto" w:fill="D9EAD3"/>
            <w:hideMark/>
          </w:tcPr>
          <w:p w14:paraId="6DDCDAC6" w14:textId="77777777" w:rsidR="002E230D" w:rsidRDefault="002E230D">
            <w:pPr>
              <w:spacing w:after="160"/>
              <w:cnfStyle w:val="000000100000" w:firstRow="0" w:lastRow="0" w:firstColumn="0" w:lastColumn="0" w:oddVBand="0" w:evenVBand="0" w:oddHBand="1" w:evenHBand="0" w:firstRowFirstColumn="0" w:firstRowLastColumn="0" w:lastRowFirstColumn="0" w:lastRowLastColumn="0"/>
            </w:pPr>
            <w:r>
              <w:rPr>
                <w:color w:val="000000"/>
              </w:rPr>
              <w:t>Improved</w:t>
            </w:r>
          </w:p>
        </w:tc>
        <w:tc>
          <w:tcPr>
            <w:tcW w:w="0" w:type="auto"/>
            <w:tcBorders>
              <w:top w:val="nil"/>
              <w:left w:val="nil"/>
              <w:bottom w:val="single" w:sz="8" w:space="0" w:color="6AA84F"/>
              <w:right w:val="single" w:sz="8" w:space="0" w:color="6AA84F"/>
            </w:tcBorders>
            <w:shd w:val="clear" w:color="auto" w:fill="D9EAD3"/>
            <w:hideMark/>
          </w:tcPr>
          <w:p w14:paraId="4CC1C422" w14:textId="77777777" w:rsidR="002E230D" w:rsidRDefault="002E230D">
            <w:pPr>
              <w:spacing w:after="160"/>
              <w:cnfStyle w:val="000000100000" w:firstRow="0" w:lastRow="0" w:firstColumn="0" w:lastColumn="0" w:oddVBand="0" w:evenVBand="0" w:oddHBand="1" w:evenHBand="0" w:firstRowFirstColumn="0" w:firstRowLastColumn="0" w:lastRowFirstColumn="0" w:lastRowLastColumn="0"/>
            </w:pPr>
            <w:r>
              <w:rPr>
                <w:color w:val="000000"/>
              </w:rPr>
              <w:t>Reduce late responses and ensure extensions or holding responses are used appropriately.</w:t>
            </w:r>
          </w:p>
        </w:tc>
        <w:tc>
          <w:tcPr>
            <w:tcW w:w="0" w:type="auto"/>
            <w:tcBorders>
              <w:top w:val="nil"/>
              <w:left w:val="nil"/>
              <w:bottom w:val="single" w:sz="8" w:space="0" w:color="6AA84F"/>
              <w:right w:val="single" w:sz="8" w:space="0" w:color="6AA84F"/>
            </w:tcBorders>
            <w:shd w:val="clear" w:color="auto" w:fill="D9EAD3"/>
            <w:hideMark/>
          </w:tcPr>
          <w:p w14:paraId="408E1CE6" w14:textId="77777777" w:rsidR="002E230D" w:rsidRDefault="002E230D">
            <w:pPr>
              <w:spacing w:after="160"/>
              <w:cnfStyle w:val="000000100000" w:firstRow="0" w:lastRow="0" w:firstColumn="0" w:lastColumn="0" w:oddVBand="0" w:evenVBand="0" w:oddHBand="1" w:evenHBand="0" w:firstRowFirstColumn="0" w:firstRowLastColumn="0" w:lastRowFirstColumn="0" w:lastRowLastColumn="0"/>
            </w:pPr>
            <w:r>
              <w:rPr>
                <w:color w:val="000000"/>
              </w:rPr>
              <w:t>The recorded position has improved; continue monitoring open complaints, particularly complex multi-service cases and those requiring extensions.</w:t>
            </w:r>
          </w:p>
        </w:tc>
      </w:tr>
      <w:tr w:rsidR="002E230D" w14:paraId="594FC155" w14:textId="77777777">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6AA84F"/>
              <w:bottom w:val="single" w:sz="8" w:space="0" w:color="6AA84F"/>
              <w:right w:val="single" w:sz="8" w:space="0" w:color="6AA84F"/>
            </w:tcBorders>
            <w:hideMark/>
          </w:tcPr>
          <w:p w14:paraId="01166BE9" w14:textId="77777777" w:rsidR="002E230D" w:rsidRDefault="002E230D">
            <w:pPr>
              <w:spacing w:after="160"/>
            </w:pPr>
            <w:r>
              <w:t>Stage 1 to Stage 2 escalation</w:t>
            </w:r>
          </w:p>
        </w:tc>
        <w:tc>
          <w:tcPr>
            <w:tcW w:w="0" w:type="auto"/>
            <w:tcBorders>
              <w:top w:val="nil"/>
              <w:left w:val="nil"/>
              <w:bottom w:val="single" w:sz="8" w:space="0" w:color="6AA84F"/>
              <w:right w:val="single" w:sz="8" w:space="0" w:color="6AA84F"/>
            </w:tcBorders>
            <w:hideMark/>
          </w:tcPr>
          <w:p w14:paraId="5436696A" w14:textId="77777777" w:rsidR="002E230D" w:rsidRDefault="002E230D">
            <w:pPr>
              <w:spacing w:after="160"/>
              <w:cnfStyle w:val="000000000000" w:firstRow="0" w:lastRow="0" w:firstColumn="0" w:lastColumn="0" w:oddVBand="0" w:evenVBand="0" w:oddHBand="0" w:evenHBand="0" w:firstRowFirstColumn="0" w:firstRowLastColumn="0" w:lastRowFirstColumn="0" w:lastRowLastColumn="0"/>
            </w:pPr>
            <w:r>
              <w:t>19 Stage 2 cases; escalation rate 21.6%.</w:t>
            </w:r>
          </w:p>
        </w:tc>
        <w:tc>
          <w:tcPr>
            <w:tcW w:w="0" w:type="auto"/>
            <w:tcBorders>
              <w:top w:val="nil"/>
              <w:left w:val="nil"/>
              <w:bottom w:val="single" w:sz="8" w:space="0" w:color="6AA84F"/>
              <w:right w:val="single" w:sz="8" w:space="0" w:color="6AA84F"/>
            </w:tcBorders>
            <w:hideMark/>
          </w:tcPr>
          <w:p w14:paraId="4676E1F3" w14:textId="77777777" w:rsidR="002E230D" w:rsidRDefault="002E230D">
            <w:pPr>
              <w:spacing w:after="160"/>
              <w:cnfStyle w:val="000000000000" w:firstRow="0" w:lastRow="0" w:firstColumn="0" w:lastColumn="0" w:oddVBand="0" w:evenVBand="0" w:oddHBand="0" w:evenHBand="0" w:firstRowFirstColumn="0" w:firstRowLastColumn="0" w:lastRowFirstColumn="0" w:lastRowLastColumn="0"/>
            </w:pPr>
            <w:r>
              <w:t>April to June 2025: 3 Stage 2 cases; escalation rate 7.0%.</w:t>
            </w:r>
          </w:p>
        </w:tc>
        <w:tc>
          <w:tcPr>
            <w:tcW w:w="0" w:type="auto"/>
            <w:tcBorders>
              <w:top w:val="nil"/>
              <w:left w:val="nil"/>
              <w:bottom w:val="single" w:sz="8" w:space="0" w:color="6AA84F"/>
              <w:right w:val="single" w:sz="8" w:space="0" w:color="6AA84F"/>
            </w:tcBorders>
            <w:hideMark/>
          </w:tcPr>
          <w:p w14:paraId="59C6EF6F" w14:textId="77777777" w:rsidR="002E230D" w:rsidRDefault="002E230D">
            <w:pPr>
              <w:spacing w:after="160"/>
              <w:cnfStyle w:val="000000000000" w:firstRow="0" w:lastRow="0" w:firstColumn="0" w:lastColumn="0" w:oddVBand="0" w:evenVBand="0" w:oddHBand="0" w:evenHBand="0" w:firstRowFirstColumn="0" w:firstRowLastColumn="0" w:lastRowFirstColumn="0" w:lastRowLastColumn="0"/>
            </w:pPr>
            <w:r>
              <w:t>Worsened</w:t>
            </w:r>
          </w:p>
        </w:tc>
        <w:tc>
          <w:tcPr>
            <w:tcW w:w="0" w:type="auto"/>
            <w:tcBorders>
              <w:top w:val="nil"/>
              <w:left w:val="nil"/>
              <w:bottom w:val="single" w:sz="8" w:space="0" w:color="6AA84F"/>
              <w:right w:val="single" w:sz="8" w:space="0" w:color="6AA84F"/>
            </w:tcBorders>
            <w:hideMark/>
          </w:tcPr>
          <w:p w14:paraId="3FDC4C17" w14:textId="77777777" w:rsidR="002E230D" w:rsidRDefault="002E230D">
            <w:pPr>
              <w:spacing w:after="160"/>
              <w:cnfStyle w:val="000000000000" w:firstRow="0" w:lastRow="0" w:firstColumn="0" w:lastColumn="0" w:oddVBand="0" w:evenVBand="0" w:oddHBand="0" w:evenHBand="0" w:firstRowFirstColumn="0" w:firstRowLastColumn="0" w:lastRowFirstColumn="0" w:lastRowLastColumn="0"/>
            </w:pPr>
            <w:r>
              <w:t>Reduce avoidable escalation through earlier resolution and clearer communication.</w:t>
            </w:r>
          </w:p>
        </w:tc>
        <w:tc>
          <w:tcPr>
            <w:tcW w:w="0" w:type="auto"/>
            <w:tcBorders>
              <w:top w:val="nil"/>
              <w:left w:val="nil"/>
              <w:bottom w:val="single" w:sz="8" w:space="0" w:color="6AA84F"/>
              <w:right w:val="single" w:sz="8" w:space="0" w:color="6AA84F"/>
            </w:tcBorders>
            <w:hideMark/>
          </w:tcPr>
          <w:p w14:paraId="015FF53C" w14:textId="77777777" w:rsidR="002E230D" w:rsidRDefault="002E230D">
            <w:pPr>
              <w:spacing w:after="160"/>
              <w:cnfStyle w:val="000000000000" w:firstRow="0" w:lastRow="0" w:firstColumn="0" w:lastColumn="0" w:oddVBand="0" w:evenVBand="0" w:oddHBand="0" w:evenHBand="0" w:firstRowFirstColumn="0" w:firstRowLastColumn="0" w:lastRowFirstColumn="0" w:lastRowLastColumn="0"/>
            </w:pPr>
            <w:r>
              <w:t>The increase in escalation indicates that Stage 1 responses need stronger explanations, clearer evidence, realistic remedies and action follow-through to prevent repeat dissatisfaction.</w:t>
            </w:r>
          </w:p>
        </w:tc>
      </w:tr>
      <w:tr w:rsidR="002E230D" w14:paraId="52EA296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6AA84F"/>
              <w:bottom w:val="single" w:sz="8" w:space="0" w:color="6AA84F"/>
              <w:right w:val="single" w:sz="8" w:space="0" w:color="6AA84F"/>
            </w:tcBorders>
            <w:shd w:val="clear" w:color="auto" w:fill="D9EAD3"/>
            <w:hideMark/>
          </w:tcPr>
          <w:p w14:paraId="63B8BF1B" w14:textId="77777777" w:rsidR="002E230D" w:rsidRDefault="002E230D">
            <w:pPr>
              <w:spacing w:after="160"/>
            </w:pPr>
            <w:r>
              <w:rPr>
                <w:color w:val="000000"/>
              </w:rPr>
              <w:t>Complaint response quality</w:t>
            </w:r>
          </w:p>
        </w:tc>
        <w:tc>
          <w:tcPr>
            <w:tcW w:w="0" w:type="auto"/>
            <w:tcBorders>
              <w:top w:val="nil"/>
              <w:left w:val="nil"/>
              <w:bottom w:val="single" w:sz="8" w:space="0" w:color="6AA84F"/>
              <w:right w:val="single" w:sz="8" w:space="0" w:color="6AA84F"/>
            </w:tcBorders>
            <w:shd w:val="clear" w:color="auto" w:fill="D9EAD3"/>
            <w:hideMark/>
          </w:tcPr>
          <w:p w14:paraId="41886353" w14:textId="77777777" w:rsidR="002E230D" w:rsidRDefault="002E230D">
            <w:pPr>
              <w:spacing w:after="160"/>
              <w:cnfStyle w:val="000000100000" w:firstRow="0" w:lastRow="0" w:firstColumn="0" w:lastColumn="0" w:oddVBand="0" w:evenVBand="0" w:oddHBand="1" w:evenHBand="0" w:firstRowFirstColumn="0" w:firstRowLastColumn="0" w:lastRowFirstColumn="0" w:lastRowLastColumn="0"/>
            </w:pPr>
            <w:r>
              <w:rPr>
                <w:color w:val="000000"/>
              </w:rPr>
              <w:t>Improvement required.</w:t>
            </w:r>
          </w:p>
        </w:tc>
        <w:tc>
          <w:tcPr>
            <w:tcW w:w="0" w:type="auto"/>
            <w:tcBorders>
              <w:top w:val="nil"/>
              <w:left w:val="nil"/>
              <w:bottom w:val="single" w:sz="8" w:space="0" w:color="6AA84F"/>
              <w:right w:val="single" w:sz="8" w:space="0" w:color="6AA84F"/>
            </w:tcBorders>
            <w:shd w:val="clear" w:color="auto" w:fill="D9EAD3"/>
            <w:hideMark/>
          </w:tcPr>
          <w:p w14:paraId="28572BF0" w14:textId="77777777" w:rsidR="002E230D" w:rsidRDefault="002E230D">
            <w:pPr>
              <w:spacing w:after="160"/>
              <w:cnfStyle w:val="000000100000" w:firstRow="0" w:lastRow="0" w:firstColumn="0" w:lastColumn="0" w:oddVBand="0" w:evenVBand="0" w:oddHBand="1" w:evenHBand="0" w:firstRowFirstColumn="0" w:firstRowLastColumn="0" w:lastRowFirstColumn="0" w:lastRowLastColumn="0"/>
            </w:pPr>
            <w:r>
              <w:rPr>
                <w:color w:val="000000"/>
              </w:rPr>
              <w:t>April to June 2025 learning also highlighted communication, clearer explanations, case ownership, contractor follow-up, RTB backlog, ASB handling and timely updates.</w:t>
            </w:r>
          </w:p>
        </w:tc>
        <w:tc>
          <w:tcPr>
            <w:tcW w:w="0" w:type="auto"/>
            <w:tcBorders>
              <w:top w:val="nil"/>
              <w:left w:val="nil"/>
              <w:bottom w:val="single" w:sz="8" w:space="0" w:color="6AA84F"/>
              <w:right w:val="single" w:sz="8" w:space="0" w:color="6AA84F"/>
            </w:tcBorders>
            <w:shd w:val="clear" w:color="auto" w:fill="D9EAD3"/>
            <w:hideMark/>
          </w:tcPr>
          <w:p w14:paraId="333D6649" w14:textId="77777777" w:rsidR="002E230D" w:rsidRDefault="002E230D">
            <w:pPr>
              <w:spacing w:after="160"/>
              <w:cnfStyle w:val="000000100000" w:firstRow="0" w:lastRow="0" w:firstColumn="0" w:lastColumn="0" w:oddVBand="0" w:evenVBand="0" w:oddHBand="1" w:evenHBand="0" w:firstRowFirstColumn="0" w:firstRowLastColumn="0" w:lastRowFirstColumn="0" w:lastRowLastColumn="0"/>
            </w:pPr>
            <w:r>
              <w:rPr>
                <w:color w:val="000000"/>
              </w:rPr>
              <w:t>Ongoing concern</w:t>
            </w:r>
          </w:p>
        </w:tc>
        <w:tc>
          <w:tcPr>
            <w:tcW w:w="0" w:type="auto"/>
            <w:tcBorders>
              <w:top w:val="nil"/>
              <w:left w:val="nil"/>
              <w:bottom w:val="single" w:sz="8" w:space="0" w:color="6AA84F"/>
              <w:right w:val="single" w:sz="8" w:space="0" w:color="6AA84F"/>
            </w:tcBorders>
            <w:shd w:val="clear" w:color="auto" w:fill="D9EAD3"/>
            <w:hideMark/>
          </w:tcPr>
          <w:p w14:paraId="5589DF07" w14:textId="77777777" w:rsidR="002E230D" w:rsidRDefault="002E230D">
            <w:pPr>
              <w:spacing w:after="160"/>
              <w:cnfStyle w:val="000000100000" w:firstRow="0" w:lastRow="0" w:firstColumn="0" w:lastColumn="0" w:oddVBand="0" w:evenVBand="0" w:oddHBand="1" w:evenHBand="0" w:firstRowFirstColumn="0" w:firstRowLastColumn="0" w:lastRowFirstColumn="0" w:lastRowLastColumn="0"/>
            </w:pPr>
            <w:r>
              <w:rPr>
                <w:color w:val="000000"/>
              </w:rPr>
              <w:t>Increase the proportion of responses meeting quality standards.</w:t>
            </w:r>
          </w:p>
        </w:tc>
        <w:tc>
          <w:tcPr>
            <w:tcW w:w="0" w:type="auto"/>
            <w:tcBorders>
              <w:top w:val="nil"/>
              <w:left w:val="nil"/>
              <w:bottom w:val="single" w:sz="8" w:space="0" w:color="6AA84F"/>
              <w:right w:val="single" w:sz="8" w:space="0" w:color="6AA84F"/>
            </w:tcBorders>
            <w:shd w:val="clear" w:color="auto" w:fill="D9EAD3"/>
            <w:hideMark/>
          </w:tcPr>
          <w:p w14:paraId="253DE796" w14:textId="77777777" w:rsidR="002E230D" w:rsidRDefault="002E230D">
            <w:pPr>
              <w:spacing w:after="160"/>
              <w:cnfStyle w:val="000000100000" w:firstRow="0" w:lastRow="0" w:firstColumn="0" w:lastColumn="0" w:oddVBand="0" w:evenVBand="0" w:oddHBand="1" w:evenHBand="0" w:firstRowFirstColumn="0" w:firstRowLastColumn="0" w:lastRowFirstColumn="0" w:lastRowLastColumn="0"/>
            </w:pPr>
            <w:r>
              <w:rPr>
                <w:color w:val="000000"/>
              </w:rPr>
              <w:t>The same quality themes are recurring year on year. Quality assurance should focus on plain explanations, evidence-based decisions, apology/remedy, vulnerability and tracking actions after response.</w:t>
            </w:r>
          </w:p>
        </w:tc>
      </w:tr>
      <w:tr w:rsidR="002E230D" w14:paraId="4F41AFE9" w14:textId="77777777">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6AA84F"/>
              <w:bottom w:val="single" w:sz="8" w:space="0" w:color="6AA84F"/>
              <w:right w:val="single" w:sz="8" w:space="0" w:color="6AA84F"/>
            </w:tcBorders>
            <w:hideMark/>
          </w:tcPr>
          <w:p w14:paraId="7C423771" w14:textId="77777777" w:rsidR="002E230D" w:rsidRDefault="002E230D">
            <w:pPr>
              <w:spacing w:after="160"/>
            </w:pPr>
            <w:r>
              <w:lastRenderedPageBreak/>
              <w:t>Recurring complaint themes</w:t>
            </w:r>
          </w:p>
        </w:tc>
        <w:tc>
          <w:tcPr>
            <w:tcW w:w="0" w:type="auto"/>
            <w:tcBorders>
              <w:top w:val="nil"/>
              <w:left w:val="nil"/>
              <w:bottom w:val="single" w:sz="8" w:space="0" w:color="6AA84F"/>
              <w:right w:val="single" w:sz="8" w:space="0" w:color="6AA84F"/>
            </w:tcBorders>
            <w:hideMark/>
          </w:tcPr>
          <w:p w14:paraId="1355D5A7" w14:textId="77777777" w:rsidR="002E230D" w:rsidRDefault="002E230D">
            <w:pPr>
              <w:spacing w:after="160"/>
              <w:cnfStyle w:val="000000000000" w:firstRow="0" w:lastRow="0" w:firstColumn="0" w:lastColumn="0" w:oddVBand="0" w:evenVBand="0" w:oddHBand="0" w:evenHBand="0" w:firstRowFirstColumn="0" w:firstRowLastColumn="0" w:lastRowFirstColumn="0" w:lastRowLastColumn="0"/>
            </w:pPr>
            <w:r>
              <w:t>Repairs/property condition; allocations delay/decision-making; tenancy/ASB case progression; vulnerability and reasonable adjustments; contractor appointment failures.</w:t>
            </w:r>
          </w:p>
        </w:tc>
        <w:tc>
          <w:tcPr>
            <w:tcW w:w="0" w:type="auto"/>
            <w:tcBorders>
              <w:top w:val="nil"/>
              <w:left w:val="nil"/>
              <w:bottom w:val="single" w:sz="8" w:space="0" w:color="6AA84F"/>
              <w:right w:val="single" w:sz="8" w:space="0" w:color="6AA84F"/>
            </w:tcBorders>
            <w:hideMark/>
          </w:tcPr>
          <w:p w14:paraId="5EF214D9" w14:textId="77777777" w:rsidR="002E230D" w:rsidRDefault="002E230D">
            <w:pPr>
              <w:spacing w:after="160"/>
              <w:cnfStyle w:val="000000000000" w:firstRow="0" w:lastRow="0" w:firstColumn="0" w:lastColumn="0" w:oddVBand="0" w:evenVBand="0" w:oddHBand="0" w:evenHBand="0" w:firstRowFirstColumn="0" w:firstRowLastColumn="0" w:lastRowFirstColumn="0" w:lastRowLastColumn="0"/>
            </w:pPr>
            <w:r>
              <w:t>April to June 2025 themes included Right to Buy delays, repairs and property condition, ASB/noise case handling, communication failures, staff conduct, allocations decision-making and service charge / communal area concerns.</w:t>
            </w:r>
          </w:p>
        </w:tc>
        <w:tc>
          <w:tcPr>
            <w:tcW w:w="0" w:type="auto"/>
            <w:tcBorders>
              <w:top w:val="nil"/>
              <w:left w:val="nil"/>
              <w:bottom w:val="single" w:sz="8" w:space="0" w:color="6AA84F"/>
              <w:right w:val="single" w:sz="8" w:space="0" w:color="6AA84F"/>
            </w:tcBorders>
            <w:hideMark/>
          </w:tcPr>
          <w:p w14:paraId="0816B6FB" w14:textId="77777777" w:rsidR="002E230D" w:rsidRDefault="002E230D">
            <w:pPr>
              <w:spacing w:after="160"/>
              <w:cnfStyle w:val="000000000000" w:firstRow="0" w:lastRow="0" w:firstColumn="0" w:lastColumn="0" w:oddVBand="0" w:evenVBand="0" w:oddHBand="0" w:evenHBand="0" w:firstRowFirstColumn="0" w:firstRowLastColumn="0" w:lastRowFirstColumn="0" w:lastRowLastColumn="0"/>
            </w:pPr>
            <w:r>
              <w:t>Persistent themes</w:t>
            </w:r>
          </w:p>
        </w:tc>
        <w:tc>
          <w:tcPr>
            <w:tcW w:w="0" w:type="auto"/>
            <w:tcBorders>
              <w:top w:val="nil"/>
              <w:left w:val="nil"/>
              <w:bottom w:val="single" w:sz="8" w:space="0" w:color="6AA84F"/>
              <w:right w:val="single" w:sz="8" w:space="0" w:color="6AA84F"/>
            </w:tcBorders>
            <w:hideMark/>
          </w:tcPr>
          <w:p w14:paraId="6A766F1B" w14:textId="77777777" w:rsidR="002E230D" w:rsidRDefault="002E230D">
            <w:pPr>
              <w:spacing w:after="160"/>
              <w:cnfStyle w:val="000000000000" w:firstRow="0" w:lastRow="0" w:firstColumn="0" w:lastColumn="0" w:oddVBand="0" w:evenVBand="0" w:oddHBand="0" w:evenHBand="0" w:firstRowFirstColumn="0" w:firstRowLastColumn="0" w:lastRowFirstColumn="0" w:lastRowLastColumn="0"/>
            </w:pPr>
            <w:r>
              <w:t>Reduce recurring themes including delay, lack of reply, poor communication and promised actions not completed.</w:t>
            </w:r>
          </w:p>
        </w:tc>
        <w:tc>
          <w:tcPr>
            <w:tcW w:w="0" w:type="auto"/>
            <w:tcBorders>
              <w:top w:val="nil"/>
              <w:left w:val="nil"/>
              <w:bottom w:val="single" w:sz="8" w:space="0" w:color="6AA84F"/>
              <w:right w:val="single" w:sz="8" w:space="0" w:color="6AA84F"/>
            </w:tcBorders>
            <w:hideMark/>
          </w:tcPr>
          <w:p w14:paraId="5C915A4A" w14:textId="77777777" w:rsidR="002E230D" w:rsidRDefault="002E230D">
            <w:pPr>
              <w:spacing w:after="160"/>
              <w:cnfStyle w:val="000000000000" w:firstRow="0" w:lastRow="0" w:firstColumn="0" w:lastColumn="0" w:oddVBand="0" w:evenVBand="0" w:oddHBand="0" w:evenHBand="0" w:firstRowFirstColumn="0" w:firstRowLastColumn="0" w:lastRowFirstColumn="0" w:lastRowLastColumn="0"/>
            </w:pPr>
            <w:r>
              <w:t>Targeted improvement is required around handoffs between inspections and repairs, proactive updates, vulnerability recording, RTB/leasehold communication and allocations explanation letters.</w:t>
            </w:r>
          </w:p>
        </w:tc>
      </w:tr>
    </w:tbl>
    <w:p w14:paraId="2EBFCD4D" w14:textId="77777777" w:rsidR="00EE7D20" w:rsidRDefault="00EE7D20">
      <w:pPr>
        <w:rPr>
          <w:lang w:eastAsia="en-GB"/>
        </w:rPr>
      </w:pPr>
      <w:r>
        <w:rPr>
          <w:b/>
          <w:bCs/>
        </w:rPr>
        <w:t>Escalation rate trend:</w:t>
      </w:r>
      <w:r>
        <w:t xml:space="preserve"> The escalation rate has increased from 7.0% in April–June 2025 to 21.6% in April–June 2026, an increase of 14.6 percentage points. This means that although response timeliness has improved, a higher proportion of complaints are now progressing to Stage 2. The trend suggests that the focus for 2026/27 should be on improving Stage 1 resolution quality, ensuring complaint responses fully address the issues raised, and strengthening follow-through on agreed actions so residents do not need to escalate to secure a clear outcome.</w:t>
      </w:r>
    </w:p>
    <w:p w14:paraId="49387D35" w14:textId="77777777" w:rsidR="0077088B" w:rsidRDefault="0077088B">
      <w:pPr>
        <w:pStyle w:val="Heading1"/>
        <w:rPr>
          <w:rFonts w:cstheme="minorBidi"/>
          <w:lang w:eastAsia="en-GB"/>
        </w:rPr>
      </w:pPr>
      <w:r>
        <w:rPr>
          <w:rFonts w:cstheme="minorBidi"/>
        </w:rPr>
        <w:t>4. Service Improvement Action Plan Progress</w:t>
      </w:r>
    </w:p>
    <w:tbl>
      <w:tblPr>
        <w:tblStyle w:val="GridTable4-Accent1"/>
        <w:tblW w:w="0" w:type="auto"/>
        <w:tblBorders>
          <w:top w:val="single" w:sz="4" w:space="0" w:color="6AA84F"/>
          <w:left w:val="single" w:sz="4" w:space="0" w:color="6AA84F"/>
          <w:bottom w:val="single" w:sz="4" w:space="0" w:color="6AA84F"/>
          <w:right w:val="single" w:sz="4" w:space="0" w:color="6AA84F"/>
          <w:insideH w:val="single" w:sz="4" w:space="0" w:color="6AA84F"/>
          <w:insideV w:val="single" w:sz="4" w:space="0" w:color="6AA84F"/>
        </w:tblBorders>
        <w:tblLook w:val="04A0" w:firstRow="1" w:lastRow="0" w:firstColumn="1" w:lastColumn="0" w:noHBand="0" w:noVBand="1"/>
      </w:tblPr>
      <w:tblGrid>
        <w:gridCol w:w="603"/>
        <w:gridCol w:w="2470"/>
        <w:gridCol w:w="2549"/>
        <w:gridCol w:w="1530"/>
        <w:gridCol w:w="1388"/>
        <w:gridCol w:w="2939"/>
        <w:gridCol w:w="2469"/>
      </w:tblGrid>
      <w:tr w:rsidR="0077088B" w14:paraId="5A528A52" w14:textId="77777777" w:rsidTr="00005D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shd w:val="clear" w:color="2F6B3F" w:fill="2F6B3F"/>
            <w:hideMark/>
          </w:tcPr>
          <w:p w14:paraId="06213009" w14:textId="77777777" w:rsidR="0077088B" w:rsidRDefault="0077088B">
            <w:pPr>
              <w:spacing w:after="160"/>
              <w:rPr>
                <w:lang w:eastAsia="en-GB"/>
              </w:rPr>
            </w:pPr>
            <w:r>
              <w:t>Ref</w:t>
            </w:r>
          </w:p>
        </w:tc>
        <w:tc>
          <w:tcPr>
            <w:tcW w:w="0" w:type="auto"/>
            <w:tcBorders>
              <w:top w:val="none" w:sz="0" w:space="0" w:color="auto"/>
              <w:left w:val="none" w:sz="0" w:space="0" w:color="auto"/>
              <w:bottom w:val="none" w:sz="0" w:space="0" w:color="auto"/>
              <w:right w:val="none" w:sz="0" w:space="0" w:color="auto"/>
            </w:tcBorders>
            <w:shd w:val="clear" w:color="2F6B3F" w:fill="2F6B3F"/>
            <w:hideMark/>
          </w:tcPr>
          <w:p w14:paraId="423C6EE2" w14:textId="77777777" w:rsidR="0077088B" w:rsidRDefault="0077088B">
            <w:pPr>
              <w:spacing w:after="160"/>
              <w:cnfStyle w:val="100000000000" w:firstRow="1" w:lastRow="0" w:firstColumn="0" w:lastColumn="0" w:oddVBand="0" w:evenVBand="0" w:oddHBand="0" w:evenHBand="0" w:firstRowFirstColumn="0" w:firstRowLastColumn="0" w:lastRowFirstColumn="0" w:lastRowLastColumn="0"/>
            </w:pPr>
            <w:r>
              <w:t>Improvement priority</w:t>
            </w:r>
          </w:p>
        </w:tc>
        <w:tc>
          <w:tcPr>
            <w:tcW w:w="0" w:type="auto"/>
            <w:tcBorders>
              <w:top w:val="none" w:sz="0" w:space="0" w:color="auto"/>
              <w:left w:val="none" w:sz="0" w:space="0" w:color="auto"/>
              <w:bottom w:val="none" w:sz="0" w:space="0" w:color="auto"/>
              <w:right w:val="none" w:sz="0" w:space="0" w:color="auto"/>
            </w:tcBorders>
            <w:shd w:val="clear" w:color="2F6B3F" w:fill="2F6B3F"/>
            <w:hideMark/>
          </w:tcPr>
          <w:p w14:paraId="2376B4FC" w14:textId="77777777" w:rsidR="0077088B" w:rsidRDefault="0077088B">
            <w:pPr>
              <w:spacing w:after="160"/>
              <w:cnfStyle w:val="100000000000" w:firstRow="1" w:lastRow="0" w:firstColumn="0" w:lastColumn="0" w:oddVBand="0" w:evenVBand="0" w:oddHBand="0" w:evenHBand="0" w:firstRowFirstColumn="0" w:firstRowLastColumn="0" w:lastRowFirstColumn="0" w:lastRowLastColumn="0"/>
            </w:pPr>
            <w:r>
              <w:t>Lead</w:t>
            </w:r>
          </w:p>
        </w:tc>
        <w:tc>
          <w:tcPr>
            <w:tcW w:w="0" w:type="auto"/>
            <w:tcBorders>
              <w:top w:val="none" w:sz="0" w:space="0" w:color="auto"/>
              <w:left w:val="none" w:sz="0" w:space="0" w:color="auto"/>
              <w:bottom w:val="none" w:sz="0" w:space="0" w:color="auto"/>
              <w:right w:val="none" w:sz="0" w:space="0" w:color="auto"/>
            </w:tcBorders>
            <w:shd w:val="clear" w:color="2F6B3F" w:fill="2F6B3F"/>
            <w:hideMark/>
          </w:tcPr>
          <w:p w14:paraId="1C09FC12" w14:textId="77777777" w:rsidR="0077088B" w:rsidRDefault="0077088B">
            <w:pPr>
              <w:spacing w:after="160"/>
              <w:cnfStyle w:val="100000000000" w:firstRow="1" w:lastRow="0" w:firstColumn="0" w:lastColumn="0" w:oddVBand="0" w:evenVBand="0" w:oddHBand="0" w:evenHBand="0" w:firstRowFirstColumn="0" w:firstRowLastColumn="0" w:lastRowFirstColumn="0" w:lastRowLastColumn="0"/>
            </w:pPr>
            <w:r>
              <w:t>Timescale</w:t>
            </w:r>
          </w:p>
        </w:tc>
        <w:tc>
          <w:tcPr>
            <w:tcW w:w="0" w:type="auto"/>
            <w:tcBorders>
              <w:top w:val="none" w:sz="0" w:space="0" w:color="auto"/>
              <w:left w:val="none" w:sz="0" w:space="0" w:color="auto"/>
              <w:bottom w:val="none" w:sz="0" w:space="0" w:color="auto"/>
              <w:right w:val="none" w:sz="0" w:space="0" w:color="auto"/>
            </w:tcBorders>
            <w:shd w:val="clear" w:color="2F6B3F" w:fill="2F6B3F"/>
            <w:hideMark/>
          </w:tcPr>
          <w:p w14:paraId="4617EDD2" w14:textId="77777777" w:rsidR="0077088B" w:rsidRDefault="0077088B">
            <w:pPr>
              <w:spacing w:after="160"/>
              <w:cnfStyle w:val="100000000000" w:firstRow="1" w:lastRow="0" w:firstColumn="0" w:lastColumn="0" w:oddVBand="0" w:evenVBand="0" w:oddHBand="0" w:evenHBand="0" w:firstRowFirstColumn="0" w:firstRowLastColumn="0" w:lastRowFirstColumn="0" w:lastRowLastColumn="0"/>
            </w:pPr>
            <w:r>
              <w:t>Quarterly status</w:t>
            </w:r>
          </w:p>
        </w:tc>
        <w:tc>
          <w:tcPr>
            <w:tcW w:w="0" w:type="auto"/>
            <w:tcBorders>
              <w:top w:val="none" w:sz="0" w:space="0" w:color="auto"/>
              <w:left w:val="none" w:sz="0" w:space="0" w:color="auto"/>
              <w:bottom w:val="none" w:sz="0" w:space="0" w:color="auto"/>
              <w:right w:val="none" w:sz="0" w:space="0" w:color="auto"/>
            </w:tcBorders>
            <w:shd w:val="clear" w:color="2F6B3F" w:fill="2F6B3F"/>
            <w:hideMark/>
          </w:tcPr>
          <w:p w14:paraId="1F0B5C5F" w14:textId="77777777" w:rsidR="0077088B" w:rsidRDefault="0077088B">
            <w:pPr>
              <w:spacing w:after="160"/>
              <w:cnfStyle w:val="100000000000" w:firstRow="1" w:lastRow="0" w:firstColumn="0" w:lastColumn="0" w:oddVBand="0" w:evenVBand="0" w:oddHBand="0" w:evenHBand="0" w:firstRowFirstColumn="0" w:firstRowLastColumn="0" w:lastRowFirstColumn="0" w:lastRowLastColumn="0"/>
            </w:pPr>
            <w:r>
              <w:t>Progress update</w:t>
            </w:r>
          </w:p>
        </w:tc>
        <w:tc>
          <w:tcPr>
            <w:tcW w:w="0" w:type="auto"/>
            <w:tcBorders>
              <w:top w:val="none" w:sz="0" w:space="0" w:color="auto"/>
              <w:left w:val="none" w:sz="0" w:space="0" w:color="auto"/>
              <w:bottom w:val="none" w:sz="0" w:space="0" w:color="auto"/>
              <w:right w:val="none" w:sz="0" w:space="0" w:color="auto"/>
            </w:tcBorders>
            <w:shd w:val="clear" w:color="2F6B3F" w:fill="2F6B3F"/>
            <w:hideMark/>
          </w:tcPr>
          <w:p w14:paraId="11E35C24" w14:textId="77777777" w:rsidR="0077088B" w:rsidRDefault="0077088B">
            <w:pPr>
              <w:spacing w:after="160"/>
              <w:cnfStyle w:val="100000000000" w:firstRow="1" w:lastRow="0" w:firstColumn="0" w:lastColumn="0" w:oddVBand="0" w:evenVBand="0" w:oddHBand="0" w:evenHBand="0" w:firstRowFirstColumn="0" w:firstRowLastColumn="0" w:lastRowFirstColumn="0" w:lastRowLastColumn="0"/>
            </w:pPr>
            <w:r>
              <w:t>Next steps / escalation</w:t>
            </w:r>
          </w:p>
        </w:tc>
      </w:tr>
      <w:tr w:rsidR="0077088B" w14:paraId="77172729" w14:textId="77777777" w:rsidTr="00005D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D9EAD3" w:fill="D9EAD3"/>
            <w:hideMark/>
          </w:tcPr>
          <w:p w14:paraId="2B91634D" w14:textId="77777777" w:rsidR="0077088B" w:rsidRDefault="0077088B">
            <w:pPr>
              <w:spacing w:after="160"/>
            </w:pPr>
            <w:r>
              <w:t>1</w:t>
            </w:r>
          </w:p>
        </w:tc>
        <w:tc>
          <w:tcPr>
            <w:tcW w:w="0" w:type="auto"/>
            <w:shd w:val="clear" w:color="D9EAD3" w:fill="D9EAD3"/>
            <w:hideMark/>
          </w:tcPr>
          <w:p w14:paraId="039B4FF3" w14:textId="77777777" w:rsidR="0077088B" w:rsidRDefault="0077088B">
            <w:pPr>
              <w:spacing w:after="160"/>
              <w:cnfStyle w:val="000000100000" w:firstRow="0" w:lastRow="0" w:firstColumn="0" w:lastColumn="0" w:oddVBand="0" w:evenVBand="0" w:oddHBand="1" w:evenHBand="0" w:firstRowFirstColumn="0" w:firstRowLastColumn="0" w:lastRowFirstColumn="0" w:lastRowLastColumn="0"/>
            </w:pPr>
            <w:r>
              <w:t>Improve response timeliness and reduce avoidable escalation.</w:t>
            </w:r>
          </w:p>
        </w:tc>
        <w:tc>
          <w:tcPr>
            <w:tcW w:w="0" w:type="auto"/>
            <w:shd w:val="clear" w:color="D9EAD3" w:fill="D9EAD3"/>
            <w:hideMark/>
          </w:tcPr>
          <w:p w14:paraId="7856E1FC" w14:textId="77777777" w:rsidR="0077088B" w:rsidRDefault="0077088B">
            <w:pPr>
              <w:spacing w:after="160"/>
              <w:cnfStyle w:val="000000100000" w:firstRow="0" w:lastRow="0" w:firstColumn="0" w:lastColumn="0" w:oddVBand="0" w:evenVBand="0" w:oddHBand="1" w:evenHBand="0" w:firstRowFirstColumn="0" w:firstRowLastColumn="0" w:lastRowFirstColumn="0" w:lastRowLastColumn="0"/>
            </w:pPr>
            <w:r>
              <w:t>Complaints and Data Manager, supported by service managers</w:t>
            </w:r>
          </w:p>
        </w:tc>
        <w:tc>
          <w:tcPr>
            <w:tcW w:w="0" w:type="auto"/>
            <w:shd w:val="clear" w:color="D9EAD3" w:fill="D9EAD3"/>
            <w:hideMark/>
          </w:tcPr>
          <w:p w14:paraId="3828700A" w14:textId="77777777" w:rsidR="0077088B" w:rsidRDefault="0077088B">
            <w:pPr>
              <w:spacing w:after="160"/>
              <w:cnfStyle w:val="000000100000" w:firstRow="0" w:lastRow="0" w:firstColumn="0" w:lastColumn="0" w:oddVBand="0" w:evenVBand="0" w:oddHBand="1" w:evenHBand="0" w:firstRowFirstColumn="0" w:firstRowLastColumn="0" w:lastRowFirstColumn="0" w:lastRowLastColumn="0"/>
            </w:pPr>
            <w:r>
              <w:t>Q2–Q3 2026/27</w:t>
            </w:r>
          </w:p>
        </w:tc>
        <w:tc>
          <w:tcPr>
            <w:tcW w:w="0" w:type="auto"/>
            <w:shd w:val="clear" w:color="D9EAD3" w:fill="D9EAD3"/>
            <w:hideMark/>
          </w:tcPr>
          <w:p w14:paraId="025F1444" w14:textId="3CFCB019" w:rsidR="0077088B" w:rsidRDefault="0077088B">
            <w:pPr>
              <w:spacing w:after="160"/>
              <w:cnfStyle w:val="000000100000" w:firstRow="0" w:lastRow="0" w:firstColumn="0" w:lastColumn="0" w:oddVBand="0" w:evenVBand="0" w:oddHBand="1" w:evenHBand="0" w:firstRowFirstColumn="0" w:firstRowLastColumn="0" w:lastRowFirstColumn="0" w:lastRowLastColumn="0"/>
            </w:pPr>
            <w:r>
              <w:t xml:space="preserve">Green </w:t>
            </w:r>
          </w:p>
        </w:tc>
        <w:tc>
          <w:tcPr>
            <w:tcW w:w="0" w:type="auto"/>
            <w:shd w:val="clear" w:color="D9EAD3" w:fill="D9EAD3"/>
            <w:hideMark/>
          </w:tcPr>
          <w:p w14:paraId="14992602" w14:textId="5439D1D3" w:rsidR="0077088B" w:rsidRDefault="003945C4">
            <w:pPr>
              <w:spacing w:after="160"/>
              <w:cnfStyle w:val="000000100000" w:firstRow="0" w:lastRow="0" w:firstColumn="0" w:lastColumn="0" w:oddVBand="0" w:evenVBand="0" w:oddHBand="1" w:evenHBand="0" w:firstRowFirstColumn="0" w:firstRowLastColumn="0" w:lastRowFirstColumn="0" w:lastRowLastColumn="0"/>
            </w:pPr>
            <w:r>
              <w:t>Complaints &amp; Data Manager commenced employment in July 2026 and will push forward as part of the action plan</w:t>
            </w:r>
          </w:p>
        </w:tc>
        <w:tc>
          <w:tcPr>
            <w:tcW w:w="0" w:type="auto"/>
            <w:shd w:val="clear" w:color="D9EAD3" w:fill="D9EAD3"/>
            <w:hideMark/>
          </w:tcPr>
          <w:p w14:paraId="5253E223" w14:textId="378A858E" w:rsidR="0077088B" w:rsidRDefault="0077088B">
            <w:pPr>
              <w:spacing w:after="160"/>
              <w:cnfStyle w:val="000000100000" w:firstRow="0" w:lastRow="0" w:firstColumn="0" w:lastColumn="0" w:oddVBand="0" w:evenVBand="0" w:oddHBand="1" w:evenHBand="0" w:firstRowFirstColumn="0" w:firstRowLastColumn="0" w:lastRowFirstColumn="0" w:lastRowLastColumn="0"/>
            </w:pPr>
          </w:p>
        </w:tc>
      </w:tr>
      <w:tr w:rsidR="0077088B" w14:paraId="37EA1D82" w14:textId="77777777" w:rsidTr="00005D90">
        <w:tc>
          <w:tcPr>
            <w:cnfStyle w:val="001000000000" w:firstRow="0" w:lastRow="0" w:firstColumn="1" w:lastColumn="0" w:oddVBand="0" w:evenVBand="0" w:oddHBand="0" w:evenHBand="0" w:firstRowFirstColumn="0" w:firstRowLastColumn="0" w:lastRowFirstColumn="0" w:lastRowLastColumn="0"/>
            <w:tcW w:w="0" w:type="auto"/>
            <w:hideMark/>
          </w:tcPr>
          <w:p w14:paraId="4E4656EA" w14:textId="77777777" w:rsidR="0077088B" w:rsidRDefault="0077088B">
            <w:pPr>
              <w:spacing w:after="160"/>
            </w:pPr>
            <w:r>
              <w:t>2</w:t>
            </w:r>
          </w:p>
        </w:tc>
        <w:tc>
          <w:tcPr>
            <w:tcW w:w="0" w:type="auto"/>
            <w:hideMark/>
          </w:tcPr>
          <w:p w14:paraId="7B813522" w14:textId="77777777" w:rsidR="0077088B" w:rsidRDefault="0077088B">
            <w:pPr>
              <w:spacing w:after="160"/>
              <w:cnfStyle w:val="000000000000" w:firstRow="0" w:lastRow="0" w:firstColumn="0" w:lastColumn="0" w:oddVBand="0" w:evenVBand="0" w:oddHBand="0" w:evenHBand="0" w:firstRowFirstColumn="0" w:firstRowLastColumn="0" w:lastRowFirstColumn="0" w:lastRowLastColumn="0"/>
            </w:pPr>
            <w:r>
              <w:t xml:space="preserve">Strengthen case ownership and </w:t>
            </w:r>
            <w:r>
              <w:lastRenderedPageBreak/>
              <w:t>communication with tenants.</w:t>
            </w:r>
          </w:p>
        </w:tc>
        <w:tc>
          <w:tcPr>
            <w:tcW w:w="0" w:type="auto"/>
            <w:hideMark/>
          </w:tcPr>
          <w:p w14:paraId="26E0494C" w14:textId="77777777" w:rsidR="0077088B" w:rsidRDefault="0077088B">
            <w:pPr>
              <w:spacing w:after="160"/>
              <w:cnfStyle w:val="000000000000" w:firstRow="0" w:lastRow="0" w:firstColumn="0" w:lastColumn="0" w:oddVBand="0" w:evenVBand="0" w:oddHBand="0" w:evenHBand="0" w:firstRowFirstColumn="0" w:firstRowLastColumn="0" w:lastRowFirstColumn="0" w:lastRowLastColumn="0"/>
            </w:pPr>
            <w:r>
              <w:lastRenderedPageBreak/>
              <w:t>Heads of Service and service managers</w:t>
            </w:r>
          </w:p>
        </w:tc>
        <w:tc>
          <w:tcPr>
            <w:tcW w:w="0" w:type="auto"/>
            <w:hideMark/>
          </w:tcPr>
          <w:p w14:paraId="0568AA7A" w14:textId="77777777" w:rsidR="0077088B" w:rsidRDefault="0077088B">
            <w:pPr>
              <w:spacing w:after="160"/>
              <w:cnfStyle w:val="000000000000" w:firstRow="0" w:lastRow="0" w:firstColumn="0" w:lastColumn="0" w:oddVBand="0" w:evenVBand="0" w:oddHBand="0" w:evenHBand="0" w:firstRowFirstColumn="0" w:firstRowLastColumn="0" w:lastRowFirstColumn="0" w:lastRowLastColumn="0"/>
            </w:pPr>
            <w:r>
              <w:t>Q2–Q3 2026/27</w:t>
            </w:r>
          </w:p>
        </w:tc>
        <w:tc>
          <w:tcPr>
            <w:tcW w:w="0" w:type="auto"/>
            <w:hideMark/>
          </w:tcPr>
          <w:p w14:paraId="1B60B0D6" w14:textId="3C541FDE" w:rsidR="0077088B" w:rsidRDefault="0077088B">
            <w:pPr>
              <w:spacing w:after="160"/>
              <w:cnfStyle w:val="000000000000" w:firstRow="0" w:lastRow="0" w:firstColumn="0" w:lastColumn="0" w:oddVBand="0" w:evenVBand="0" w:oddHBand="0" w:evenHBand="0" w:firstRowFirstColumn="0" w:firstRowLastColumn="0" w:lastRowFirstColumn="0" w:lastRowLastColumn="0"/>
            </w:pPr>
            <w:r>
              <w:t>Green</w:t>
            </w:r>
          </w:p>
        </w:tc>
        <w:tc>
          <w:tcPr>
            <w:tcW w:w="0" w:type="auto"/>
            <w:hideMark/>
          </w:tcPr>
          <w:p w14:paraId="676CC327" w14:textId="43ACFC18" w:rsidR="0077088B" w:rsidRDefault="0077088B">
            <w:pPr>
              <w:spacing w:after="160"/>
              <w:cnfStyle w:val="000000000000" w:firstRow="0" w:lastRow="0" w:firstColumn="0" w:lastColumn="0" w:oddVBand="0" w:evenVBand="0" w:oddHBand="0" w:evenHBand="0" w:firstRowFirstColumn="0" w:firstRowLastColumn="0" w:lastRowFirstColumn="0" w:lastRowLastColumn="0"/>
            </w:pPr>
            <w:r>
              <w:t>[</w:t>
            </w:r>
            <w:r w:rsidR="003945C4">
              <w:t xml:space="preserve">Complaints &amp; Data Manager commenced employment in July 2026 </w:t>
            </w:r>
            <w:r w:rsidR="003945C4">
              <w:lastRenderedPageBreak/>
              <w:t>and will push forward as part of the action plan</w:t>
            </w:r>
          </w:p>
        </w:tc>
        <w:tc>
          <w:tcPr>
            <w:tcW w:w="0" w:type="auto"/>
            <w:hideMark/>
          </w:tcPr>
          <w:p w14:paraId="52879EF6" w14:textId="44FC7D02" w:rsidR="0077088B" w:rsidRDefault="0077088B">
            <w:pPr>
              <w:spacing w:after="160"/>
              <w:cnfStyle w:val="000000000000" w:firstRow="0" w:lastRow="0" w:firstColumn="0" w:lastColumn="0" w:oddVBand="0" w:evenVBand="0" w:oddHBand="0" w:evenHBand="0" w:firstRowFirstColumn="0" w:firstRowLastColumn="0" w:lastRowFirstColumn="0" w:lastRowLastColumn="0"/>
            </w:pPr>
          </w:p>
        </w:tc>
      </w:tr>
      <w:tr w:rsidR="0077088B" w14:paraId="181E81E5" w14:textId="77777777" w:rsidTr="00005D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D9EAD3" w:fill="D9EAD3"/>
            <w:hideMark/>
          </w:tcPr>
          <w:p w14:paraId="2B7ACB69" w14:textId="77777777" w:rsidR="0077088B" w:rsidRDefault="0077088B">
            <w:pPr>
              <w:spacing w:after="160"/>
            </w:pPr>
            <w:r>
              <w:t>3</w:t>
            </w:r>
          </w:p>
        </w:tc>
        <w:tc>
          <w:tcPr>
            <w:tcW w:w="0" w:type="auto"/>
            <w:shd w:val="clear" w:color="D9EAD3" w:fill="D9EAD3"/>
            <w:hideMark/>
          </w:tcPr>
          <w:p w14:paraId="20DA440D" w14:textId="77777777" w:rsidR="0077088B" w:rsidRDefault="0077088B">
            <w:pPr>
              <w:spacing w:after="160"/>
              <w:cnfStyle w:val="000000100000" w:firstRow="0" w:lastRow="0" w:firstColumn="0" w:lastColumn="0" w:oddVBand="0" w:evenVBand="0" w:oddHBand="1" w:evenHBand="0" w:firstRowFirstColumn="0" w:firstRowLastColumn="0" w:lastRowFirstColumn="0" w:lastRowLastColumn="0"/>
            </w:pPr>
            <w:r>
              <w:t>Improve quality, clarity and consistency of complaint responses.</w:t>
            </w:r>
          </w:p>
        </w:tc>
        <w:tc>
          <w:tcPr>
            <w:tcW w:w="0" w:type="auto"/>
            <w:shd w:val="clear" w:color="D9EAD3" w:fill="D9EAD3"/>
            <w:hideMark/>
          </w:tcPr>
          <w:p w14:paraId="70717672" w14:textId="77777777" w:rsidR="0077088B" w:rsidRDefault="0077088B">
            <w:pPr>
              <w:spacing w:after="160"/>
              <w:cnfStyle w:val="000000100000" w:firstRow="0" w:lastRow="0" w:firstColumn="0" w:lastColumn="0" w:oddVBand="0" w:evenVBand="0" w:oddHBand="1" w:evenHBand="0" w:firstRowFirstColumn="0" w:firstRowLastColumn="0" w:lastRowFirstColumn="0" w:lastRowLastColumn="0"/>
            </w:pPr>
            <w:r>
              <w:t>Complaints and Data Manager</w:t>
            </w:r>
          </w:p>
        </w:tc>
        <w:tc>
          <w:tcPr>
            <w:tcW w:w="0" w:type="auto"/>
            <w:shd w:val="clear" w:color="D9EAD3" w:fill="D9EAD3"/>
            <w:hideMark/>
          </w:tcPr>
          <w:p w14:paraId="4BD9D771" w14:textId="77777777" w:rsidR="0077088B" w:rsidRDefault="0077088B">
            <w:pPr>
              <w:spacing w:after="160"/>
              <w:cnfStyle w:val="000000100000" w:firstRow="0" w:lastRow="0" w:firstColumn="0" w:lastColumn="0" w:oddVBand="0" w:evenVBand="0" w:oddHBand="1" w:evenHBand="0" w:firstRowFirstColumn="0" w:firstRowLastColumn="0" w:lastRowFirstColumn="0" w:lastRowLastColumn="0"/>
            </w:pPr>
            <w:r>
              <w:t>Q2 2026/27 and ongoing</w:t>
            </w:r>
          </w:p>
        </w:tc>
        <w:tc>
          <w:tcPr>
            <w:tcW w:w="0" w:type="auto"/>
            <w:shd w:val="clear" w:color="D9EAD3" w:fill="D9EAD3"/>
            <w:hideMark/>
          </w:tcPr>
          <w:p w14:paraId="7F2AF6C5" w14:textId="152D7BA5" w:rsidR="0077088B" w:rsidRDefault="0077088B">
            <w:pPr>
              <w:spacing w:after="160"/>
              <w:cnfStyle w:val="000000100000" w:firstRow="0" w:lastRow="0" w:firstColumn="0" w:lastColumn="0" w:oddVBand="0" w:evenVBand="0" w:oddHBand="1" w:evenHBand="0" w:firstRowFirstColumn="0" w:firstRowLastColumn="0" w:lastRowFirstColumn="0" w:lastRowLastColumn="0"/>
            </w:pPr>
            <w:r>
              <w:t>Green</w:t>
            </w:r>
          </w:p>
        </w:tc>
        <w:tc>
          <w:tcPr>
            <w:tcW w:w="0" w:type="auto"/>
            <w:shd w:val="clear" w:color="D9EAD3" w:fill="D9EAD3"/>
            <w:hideMark/>
          </w:tcPr>
          <w:p w14:paraId="2E49D2E9" w14:textId="524B15A5" w:rsidR="0077088B" w:rsidRDefault="003945C4">
            <w:pPr>
              <w:spacing w:after="160"/>
              <w:cnfStyle w:val="000000100000" w:firstRow="0" w:lastRow="0" w:firstColumn="0" w:lastColumn="0" w:oddVBand="0" w:evenVBand="0" w:oddHBand="1" w:evenHBand="0" w:firstRowFirstColumn="0" w:firstRowLastColumn="0" w:lastRowFirstColumn="0" w:lastRowLastColumn="0"/>
            </w:pPr>
            <w:r>
              <w:t>Complaints &amp; Data Manager commenced employment in July 2026 and will push forward as part of the action plan</w:t>
            </w:r>
          </w:p>
        </w:tc>
        <w:tc>
          <w:tcPr>
            <w:tcW w:w="0" w:type="auto"/>
            <w:shd w:val="clear" w:color="D9EAD3" w:fill="D9EAD3"/>
            <w:hideMark/>
          </w:tcPr>
          <w:p w14:paraId="612D0B7C" w14:textId="530814ED" w:rsidR="0077088B" w:rsidRDefault="0077088B">
            <w:pPr>
              <w:spacing w:after="160"/>
              <w:cnfStyle w:val="000000100000" w:firstRow="0" w:lastRow="0" w:firstColumn="0" w:lastColumn="0" w:oddVBand="0" w:evenVBand="0" w:oddHBand="1" w:evenHBand="0" w:firstRowFirstColumn="0" w:firstRowLastColumn="0" w:lastRowFirstColumn="0" w:lastRowLastColumn="0"/>
            </w:pPr>
          </w:p>
        </w:tc>
      </w:tr>
      <w:tr w:rsidR="0077088B" w14:paraId="4DFA7E19" w14:textId="77777777" w:rsidTr="00005D90">
        <w:tc>
          <w:tcPr>
            <w:cnfStyle w:val="001000000000" w:firstRow="0" w:lastRow="0" w:firstColumn="1" w:lastColumn="0" w:oddVBand="0" w:evenVBand="0" w:oddHBand="0" w:evenHBand="0" w:firstRowFirstColumn="0" w:firstRowLastColumn="0" w:lastRowFirstColumn="0" w:lastRowLastColumn="0"/>
            <w:tcW w:w="0" w:type="auto"/>
            <w:hideMark/>
          </w:tcPr>
          <w:p w14:paraId="6569EC9B" w14:textId="77777777" w:rsidR="0077088B" w:rsidRDefault="0077088B">
            <w:pPr>
              <w:spacing w:after="160"/>
            </w:pPr>
            <w:r>
              <w:t>4</w:t>
            </w:r>
          </w:p>
        </w:tc>
        <w:tc>
          <w:tcPr>
            <w:tcW w:w="0" w:type="auto"/>
            <w:hideMark/>
          </w:tcPr>
          <w:p w14:paraId="2BA6DBEA" w14:textId="77777777" w:rsidR="0077088B" w:rsidRDefault="0077088B">
            <w:pPr>
              <w:spacing w:after="160"/>
              <w:cnfStyle w:val="000000000000" w:firstRow="0" w:lastRow="0" w:firstColumn="0" w:lastColumn="0" w:oddVBand="0" w:evenVBand="0" w:oddHBand="0" w:evenHBand="0" w:firstRowFirstColumn="0" w:firstRowLastColumn="0" w:lastRowFirstColumn="0" w:lastRowLastColumn="0"/>
            </w:pPr>
            <w:r>
              <w:t>Strengthen repairs, damp and mould and property condition case progression.</w:t>
            </w:r>
          </w:p>
        </w:tc>
        <w:tc>
          <w:tcPr>
            <w:tcW w:w="0" w:type="auto"/>
            <w:hideMark/>
          </w:tcPr>
          <w:p w14:paraId="3B4F5F2C" w14:textId="77777777" w:rsidR="0077088B" w:rsidRDefault="0077088B">
            <w:pPr>
              <w:spacing w:after="160"/>
              <w:cnfStyle w:val="000000000000" w:firstRow="0" w:lastRow="0" w:firstColumn="0" w:lastColumn="0" w:oddVBand="0" w:evenVBand="0" w:oddHBand="0" w:evenHBand="0" w:firstRowFirstColumn="0" w:firstRowLastColumn="0" w:lastRowFirstColumn="0" w:lastRowLastColumn="0"/>
            </w:pPr>
            <w:r>
              <w:t>Asset Improvement Manager, Housing Operations Team Leader, Technical Manager</w:t>
            </w:r>
          </w:p>
        </w:tc>
        <w:tc>
          <w:tcPr>
            <w:tcW w:w="0" w:type="auto"/>
            <w:hideMark/>
          </w:tcPr>
          <w:p w14:paraId="6F02F98B" w14:textId="77777777" w:rsidR="0077088B" w:rsidRDefault="0077088B">
            <w:pPr>
              <w:spacing w:after="160"/>
              <w:cnfStyle w:val="000000000000" w:firstRow="0" w:lastRow="0" w:firstColumn="0" w:lastColumn="0" w:oddVBand="0" w:evenVBand="0" w:oddHBand="0" w:evenHBand="0" w:firstRowFirstColumn="0" w:firstRowLastColumn="0" w:lastRowFirstColumn="0" w:lastRowLastColumn="0"/>
            </w:pPr>
            <w:r>
              <w:t>Q2–Q4 2026/27</w:t>
            </w:r>
          </w:p>
        </w:tc>
        <w:tc>
          <w:tcPr>
            <w:tcW w:w="0" w:type="auto"/>
            <w:hideMark/>
          </w:tcPr>
          <w:p w14:paraId="602C2C2D" w14:textId="5DD02611" w:rsidR="0077088B" w:rsidRDefault="0077088B">
            <w:pPr>
              <w:spacing w:after="160"/>
              <w:cnfStyle w:val="000000000000" w:firstRow="0" w:lastRow="0" w:firstColumn="0" w:lastColumn="0" w:oddVBand="0" w:evenVBand="0" w:oddHBand="0" w:evenHBand="0" w:firstRowFirstColumn="0" w:firstRowLastColumn="0" w:lastRowFirstColumn="0" w:lastRowLastColumn="0"/>
            </w:pPr>
            <w:r>
              <w:t>Green</w:t>
            </w:r>
          </w:p>
        </w:tc>
        <w:tc>
          <w:tcPr>
            <w:tcW w:w="0" w:type="auto"/>
            <w:hideMark/>
          </w:tcPr>
          <w:p w14:paraId="19A79CBB" w14:textId="2E0D6195" w:rsidR="0077088B" w:rsidRDefault="00E94DC7">
            <w:pPr>
              <w:spacing w:after="160"/>
              <w:cnfStyle w:val="000000000000" w:firstRow="0" w:lastRow="0" w:firstColumn="0" w:lastColumn="0" w:oddVBand="0" w:evenVBand="0" w:oddHBand="0" w:evenHBand="0" w:firstRowFirstColumn="0" w:firstRowLastColumn="0" w:lastRowFirstColumn="0" w:lastRowLastColumn="0"/>
            </w:pPr>
            <w:r>
              <w:t>Review of structure has been undertaken and implemented</w:t>
            </w:r>
          </w:p>
        </w:tc>
        <w:tc>
          <w:tcPr>
            <w:tcW w:w="0" w:type="auto"/>
            <w:hideMark/>
          </w:tcPr>
          <w:p w14:paraId="4E34785E" w14:textId="3F69CF24" w:rsidR="0077088B" w:rsidRDefault="00E94DC7">
            <w:pPr>
              <w:spacing w:after="160"/>
              <w:cnfStyle w:val="000000000000" w:firstRow="0" w:lastRow="0" w:firstColumn="0" w:lastColumn="0" w:oddVBand="0" w:evenVBand="0" w:oddHBand="0" w:evenHBand="0" w:firstRowFirstColumn="0" w:firstRowLastColumn="0" w:lastRowFirstColumn="0" w:lastRowLastColumn="0"/>
            </w:pPr>
            <w:r>
              <w:t>Adapt to Phase 2 Awaab Law</w:t>
            </w:r>
          </w:p>
        </w:tc>
      </w:tr>
      <w:tr w:rsidR="0077088B" w14:paraId="3566453A" w14:textId="77777777" w:rsidTr="00005D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D9EAD3" w:fill="D9EAD3"/>
            <w:hideMark/>
          </w:tcPr>
          <w:p w14:paraId="1DC457A8" w14:textId="77777777" w:rsidR="0077088B" w:rsidRDefault="0077088B">
            <w:pPr>
              <w:spacing w:after="160"/>
            </w:pPr>
            <w:r>
              <w:t>5</w:t>
            </w:r>
          </w:p>
        </w:tc>
        <w:tc>
          <w:tcPr>
            <w:tcW w:w="0" w:type="auto"/>
            <w:shd w:val="clear" w:color="D9EAD3" w:fill="D9EAD3"/>
            <w:hideMark/>
          </w:tcPr>
          <w:p w14:paraId="106381F4" w14:textId="77777777" w:rsidR="0077088B" w:rsidRDefault="0077088B">
            <w:pPr>
              <w:spacing w:after="160"/>
              <w:cnfStyle w:val="000000100000" w:firstRow="0" w:lastRow="0" w:firstColumn="0" w:lastColumn="0" w:oddVBand="0" w:evenVBand="0" w:oddHBand="1" w:evenHBand="0" w:firstRowFirstColumn="0" w:firstRowLastColumn="0" w:lastRowFirstColumn="0" w:lastRowLastColumn="0"/>
            </w:pPr>
            <w:r>
              <w:t>Improve contractor performance and tenant experience in gas and heating services.</w:t>
            </w:r>
          </w:p>
        </w:tc>
        <w:tc>
          <w:tcPr>
            <w:tcW w:w="0" w:type="auto"/>
            <w:shd w:val="clear" w:color="D9EAD3" w:fill="D9EAD3"/>
            <w:hideMark/>
          </w:tcPr>
          <w:p w14:paraId="547D30C7" w14:textId="77777777" w:rsidR="0077088B" w:rsidRDefault="0077088B">
            <w:pPr>
              <w:spacing w:after="160"/>
              <w:cnfStyle w:val="000000100000" w:firstRow="0" w:lastRow="0" w:firstColumn="0" w:lastColumn="0" w:oddVBand="0" w:evenVBand="0" w:oddHBand="1" w:evenHBand="0" w:firstRowFirstColumn="0" w:firstRowLastColumn="0" w:lastRowFirstColumn="0" w:lastRowLastColumn="0"/>
            </w:pPr>
            <w:r>
              <w:t>Building Safety and Investment Manager, Gas Manager, Complaints and Data Manager</w:t>
            </w:r>
          </w:p>
        </w:tc>
        <w:tc>
          <w:tcPr>
            <w:tcW w:w="0" w:type="auto"/>
            <w:shd w:val="clear" w:color="D9EAD3" w:fill="D9EAD3"/>
            <w:hideMark/>
          </w:tcPr>
          <w:p w14:paraId="61C5128A" w14:textId="77777777" w:rsidR="0077088B" w:rsidRDefault="0077088B">
            <w:pPr>
              <w:spacing w:after="160"/>
              <w:cnfStyle w:val="000000100000" w:firstRow="0" w:lastRow="0" w:firstColumn="0" w:lastColumn="0" w:oddVBand="0" w:evenVBand="0" w:oddHBand="1" w:evenHBand="0" w:firstRowFirstColumn="0" w:firstRowLastColumn="0" w:lastRowFirstColumn="0" w:lastRowLastColumn="0"/>
            </w:pPr>
            <w:r>
              <w:t>Q2–Q4 2026/27</w:t>
            </w:r>
          </w:p>
        </w:tc>
        <w:tc>
          <w:tcPr>
            <w:tcW w:w="0" w:type="auto"/>
            <w:shd w:val="clear" w:color="D9EAD3" w:fill="D9EAD3"/>
            <w:hideMark/>
          </w:tcPr>
          <w:p w14:paraId="60652693" w14:textId="47D4B975" w:rsidR="0077088B" w:rsidRDefault="0077088B">
            <w:pPr>
              <w:spacing w:after="160"/>
              <w:cnfStyle w:val="000000100000" w:firstRow="0" w:lastRow="0" w:firstColumn="0" w:lastColumn="0" w:oddVBand="0" w:evenVBand="0" w:oddHBand="1" w:evenHBand="0" w:firstRowFirstColumn="0" w:firstRowLastColumn="0" w:lastRowFirstColumn="0" w:lastRowLastColumn="0"/>
            </w:pPr>
            <w:r>
              <w:t>Green</w:t>
            </w:r>
          </w:p>
        </w:tc>
        <w:tc>
          <w:tcPr>
            <w:tcW w:w="0" w:type="auto"/>
            <w:shd w:val="clear" w:color="D9EAD3" w:fill="D9EAD3"/>
            <w:hideMark/>
          </w:tcPr>
          <w:p w14:paraId="2385CB91" w14:textId="5A37D186" w:rsidR="0077088B" w:rsidRDefault="00847106">
            <w:pPr>
              <w:spacing w:after="160"/>
              <w:cnfStyle w:val="000000100000" w:firstRow="0" w:lastRow="0" w:firstColumn="0" w:lastColumn="0" w:oddVBand="0" w:evenVBand="0" w:oddHBand="1" w:evenHBand="0" w:firstRowFirstColumn="0" w:firstRowLastColumn="0" w:lastRowFirstColumn="0" w:lastRowLastColumn="0"/>
            </w:pPr>
            <w:r>
              <w:t>Improvement Plan has been established</w:t>
            </w:r>
          </w:p>
        </w:tc>
        <w:tc>
          <w:tcPr>
            <w:tcW w:w="0" w:type="auto"/>
            <w:shd w:val="clear" w:color="D9EAD3" w:fill="D9EAD3"/>
            <w:hideMark/>
          </w:tcPr>
          <w:p w14:paraId="5EDF3E4F" w14:textId="599180A5" w:rsidR="0077088B" w:rsidRDefault="00847106">
            <w:pPr>
              <w:spacing w:after="160"/>
              <w:cnfStyle w:val="000000100000" w:firstRow="0" w:lastRow="0" w:firstColumn="0" w:lastColumn="0" w:oddVBand="0" w:evenVBand="0" w:oddHBand="1" w:evenHBand="0" w:firstRowFirstColumn="0" w:firstRowLastColumn="0" w:lastRowFirstColumn="0" w:lastRowLastColumn="0"/>
            </w:pPr>
            <w:r>
              <w:t>Continuous monitoring</w:t>
            </w:r>
          </w:p>
        </w:tc>
      </w:tr>
      <w:tr w:rsidR="0077088B" w14:paraId="70FE4584" w14:textId="77777777" w:rsidTr="00005D90">
        <w:tc>
          <w:tcPr>
            <w:cnfStyle w:val="001000000000" w:firstRow="0" w:lastRow="0" w:firstColumn="1" w:lastColumn="0" w:oddVBand="0" w:evenVBand="0" w:oddHBand="0" w:evenHBand="0" w:firstRowFirstColumn="0" w:firstRowLastColumn="0" w:lastRowFirstColumn="0" w:lastRowLastColumn="0"/>
            <w:tcW w:w="0" w:type="auto"/>
            <w:hideMark/>
          </w:tcPr>
          <w:p w14:paraId="2F7A8475" w14:textId="77777777" w:rsidR="0077088B" w:rsidRDefault="0077088B">
            <w:pPr>
              <w:spacing w:after="160"/>
            </w:pPr>
            <w:r>
              <w:t>6</w:t>
            </w:r>
          </w:p>
        </w:tc>
        <w:tc>
          <w:tcPr>
            <w:tcW w:w="0" w:type="auto"/>
            <w:hideMark/>
          </w:tcPr>
          <w:p w14:paraId="0A3853CD" w14:textId="77777777" w:rsidR="0077088B" w:rsidRDefault="0077088B">
            <w:pPr>
              <w:spacing w:after="160"/>
              <w:cnfStyle w:val="000000000000" w:firstRow="0" w:lastRow="0" w:firstColumn="0" w:lastColumn="0" w:oddVBand="0" w:evenVBand="0" w:oddHBand="0" w:evenHBand="0" w:firstRowFirstColumn="0" w:firstRowLastColumn="0" w:lastRowFirstColumn="0" w:lastRowLastColumn="0"/>
            </w:pPr>
            <w:r>
              <w:t>Embed stronger consideration of vulnerability in complaint handling and service delivery.</w:t>
            </w:r>
          </w:p>
        </w:tc>
        <w:tc>
          <w:tcPr>
            <w:tcW w:w="0" w:type="auto"/>
            <w:hideMark/>
          </w:tcPr>
          <w:p w14:paraId="2DF3840A" w14:textId="77777777" w:rsidR="0077088B" w:rsidRDefault="0077088B">
            <w:pPr>
              <w:spacing w:after="160"/>
              <w:cnfStyle w:val="000000000000" w:firstRow="0" w:lastRow="0" w:firstColumn="0" w:lastColumn="0" w:oddVBand="0" w:evenVBand="0" w:oddHBand="0" w:evenHBand="0" w:firstRowFirstColumn="0" w:firstRowLastColumn="0" w:lastRowFirstColumn="0" w:lastRowLastColumn="0"/>
            </w:pPr>
            <w:r>
              <w:t>All Service Managers</w:t>
            </w:r>
          </w:p>
        </w:tc>
        <w:tc>
          <w:tcPr>
            <w:tcW w:w="0" w:type="auto"/>
            <w:hideMark/>
          </w:tcPr>
          <w:p w14:paraId="721D3FAF" w14:textId="77777777" w:rsidR="0077088B" w:rsidRDefault="0077088B">
            <w:pPr>
              <w:spacing w:after="160"/>
              <w:cnfStyle w:val="000000000000" w:firstRow="0" w:lastRow="0" w:firstColumn="0" w:lastColumn="0" w:oddVBand="0" w:evenVBand="0" w:oddHBand="0" w:evenHBand="0" w:firstRowFirstColumn="0" w:firstRowLastColumn="0" w:lastRowFirstColumn="0" w:lastRowLastColumn="0"/>
            </w:pPr>
            <w:r>
              <w:t>Q2–Q4 2026/27</w:t>
            </w:r>
          </w:p>
        </w:tc>
        <w:tc>
          <w:tcPr>
            <w:tcW w:w="0" w:type="auto"/>
            <w:hideMark/>
          </w:tcPr>
          <w:p w14:paraId="6721046C" w14:textId="35CEC308" w:rsidR="0077088B" w:rsidRDefault="0077088B">
            <w:pPr>
              <w:spacing w:after="160"/>
              <w:cnfStyle w:val="000000000000" w:firstRow="0" w:lastRow="0" w:firstColumn="0" w:lastColumn="0" w:oddVBand="0" w:evenVBand="0" w:oddHBand="0" w:evenHBand="0" w:firstRowFirstColumn="0" w:firstRowLastColumn="0" w:lastRowFirstColumn="0" w:lastRowLastColumn="0"/>
            </w:pPr>
            <w:r>
              <w:t>Green</w:t>
            </w:r>
          </w:p>
        </w:tc>
        <w:tc>
          <w:tcPr>
            <w:tcW w:w="0" w:type="auto"/>
            <w:hideMark/>
          </w:tcPr>
          <w:p w14:paraId="78B39A24" w14:textId="0349BB22" w:rsidR="0077088B" w:rsidRDefault="00D55F3F">
            <w:pPr>
              <w:spacing w:after="160"/>
              <w:cnfStyle w:val="000000000000" w:firstRow="0" w:lastRow="0" w:firstColumn="0" w:lastColumn="0" w:oddVBand="0" w:evenVBand="0" w:oddHBand="0" w:evenHBand="0" w:firstRowFirstColumn="0" w:firstRowLastColumn="0" w:lastRowFirstColumn="0" w:lastRowLastColumn="0"/>
            </w:pPr>
            <w:r>
              <w:t>Vulnerability/ equality training for managers delivered in August and then rolled out to all staff during Q2</w:t>
            </w:r>
          </w:p>
        </w:tc>
        <w:tc>
          <w:tcPr>
            <w:tcW w:w="0" w:type="auto"/>
            <w:hideMark/>
          </w:tcPr>
          <w:p w14:paraId="4D2F0BFA" w14:textId="77777777" w:rsidR="0077088B" w:rsidRDefault="000010CC">
            <w:pPr>
              <w:spacing w:after="160"/>
              <w:cnfStyle w:val="000000000000" w:firstRow="0" w:lastRow="0" w:firstColumn="0" w:lastColumn="0" w:oddVBand="0" w:evenVBand="0" w:oddHBand="0" w:evenHBand="0" w:firstRowFirstColumn="0" w:firstRowLastColumn="0" w:lastRowFirstColumn="0" w:lastRowLastColumn="0"/>
            </w:pPr>
            <w:r>
              <w:t>Vulnerability/ Reasonable Adjustment Policy to be reviewed</w:t>
            </w:r>
          </w:p>
          <w:p w14:paraId="1D2D6166" w14:textId="2F7AB702" w:rsidR="00847106" w:rsidRDefault="00847106">
            <w:pPr>
              <w:spacing w:after="160"/>
              <w:cnfStyle w:val="000000000000" w:firstRow="0" w:lastRow="0" w:firstColumn="0" w:lastColumn="0" w:oddVBand="0" w:evenVBand="0" w:oddHBand="0" w:evenHBand="0" w:firstRowFirstColumn="0" w:firstRowLastColumn="0" w:lastRowFirstColumn="0" w:lastRowLastColumn="0"/>
            </w:pPr>
            <w:r w:rsidRPr="00847106">
              <w:t>Spotlight on Attitudes, Respect and Rights – Relationship of Equals</w:t>
            </w:r>
            <w:r>
              <w:t xml:space="preserve"> action plan</w:t>
            </w:r>
          </w:p>
        </w:tc>
      </w:tr>
      <w:tr w:rsidR="0077088B" w14:paraId="6569CF5A" w14:textId="77777777" w:rsidTr="00005D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D9EAD3" w:fill="D9EAD3"/>
            <w:hideMark/>
          </w:tcPr>
          <w:p w14:paraId="65BDD362" w14:textId="77777777" w:rsidR="0077088B" w:rsidRDefault="0077088B">
            <w:pPr>
              <w:spacing w:after="160"/>
            </w:pPr>
            <w:r>
              <w:lastRenderedPageBreak/>
              <w:t>7</w:t>
            </w:r>
          </w:p>
        </w:tc>
        <w:tc>
          <w:tcPr>
            <w:tcW w:w="0" w:type="auto"/>
            <w:shd w:val="clear" w:color="D9EAD3" w:fill="D9EAD3"/>
            <w:hideMark/>
          </w:tcPr>
          <w:p w14:paraId="3E634F50" w14:textId="77777777" w:rsidR="0077088B" w:rsidRDefault="0077088B">
            <w:pPr>
              <w:spacing w:after="160"/>
              <w:cnfStyle w:val="000000100000" w:firstRow="0" w:lastRow="0" w:firstColumn="0" w:lastColumn="0" w:oddVBand="0" w:evenVBand="0" w:oddHBand="1" w:evenHBand="0" w:firstRowFirstColumn="0" w:firstRowLastColumn="0" w:lastRowFirstColumn="0" w:lastRowLastColumn="0"/>
            </w:pPr>
            <w:r>
              <w:t>Improve tenancy management case handling and reduce escalation.</w:t>
            </w:r>
          </w:p>
        </w:tc>
        <w:tc>
          <w:tcPr>
            <w:tcW w:w="0" w:type="auto"/>
            <w:shd w:val="clear" w:color="D9EAD3" w:fill="D9EAD3"/>
            <w:hideMark/>
          </w:tcPr>
          <w:p w14:paraId="02E67B72" w14:textId="77777777" w:rsidR="0077088B" w:rsidRDefault="0077088B">
            <w:pPr>
              <w:spacing w:after="160"/>
              <w:cnfStyle w:val="000000100000" w:firstRow="0" w:lastRow="0" w:firstColumn="0" w:lastColumn="0" w:oddVBand="0" w:evenVBand="0" w:oddHBand="1" w:evenHBand="0" w:firstRowFirstColumn="0" w:firstRowLastColumn="0" w:lastRowFirstColumn="0" w:lastRowLastColumn="0"/>
            </w:pPr>
            <w:r>
              <w:t>Head of Neighbourhood, Neighbourhood Manager</w:t>
            </w:r>
          </w:p>
        </w:tc>
        <w:tc>
          <w:tcPr>
            <w:tcW w:w="0" w:type="auto"/>
            <w:shd w:val="clear" w:color="D9EAD3" w:fill="D9EAD3"/>
            <w:hideMark/>
          </w:tcPr>
          <w:p w14:paraId="5F1A6D8C" w14:textId="77777777" w:rsidR="0077088B" w:rsidRDefault="0077088B">
            <w:pPr>
              <w:spacing w:after="160"/>
              <w:cnfStyle w:val="000000100000" w:firstRow="0" w:lastRow="0" w:firstColumn="0" w:lastColumn="0" w:oddVBand="0" w:evenVBand="0" w:oddHBand="1" w:evenHBand="0" w:firstRowFirstColumn="0" w:firstRowLastColumn="0" w:lastRowFirstColumn="0" w:lastRowLastColumn="0"/>
            </w:pPr>
            <w:r>
              <w:t>Q2–Q4 2026/27</w:t>
            </w:r>
          </w:p>
        </w:tc>
        <w:tc>
          <w:tcPr>
            <w:tcW w:w="0" w:type="auto"/>
            <w:shd w:val="clear" w:color="D9EAD3" w:fill="D9EAD3"/>
            <w:hideMark/>
          </w:tcPr>
          <w:p w14:paraId="13E9895A" w14:textId="77777777" w:rsidR="0077088B" w:rsidRDefault="0077088B">
            <w:pPr>
              <w:spacing w:after="160"/>
              <w:cnfStyle w:val="000000100000" w:firstRow="0" w:lastRow="0" w:firstColumn="0" w:lastColumn="0" w:oddVBand="0" w:evenVBand="0" w:oddHBand="1" w:evenHBand="0" w:firstRowFirstColumn="0" w:firstRowLastColumn="0" w:lastRowFirstColumn="0" w:lastRowLastColumn="0"/>
            </w:pPr>
            <w:r>
              <w:t>[Green / Amber / Red]</w:t>
            </w:r>
          </w:p>
        </w:tc>
        <w:tc>
          <w:tcPr>
            <w:tcW w:w="0" w:type="auto"/>
            <w:shd w:val="clear" w:color="D9EAD3" w:fill="D9EAD3"/>
            <w:hideMark/>
          </w:tcPr>
          <w:p w14:paraId="014704FC" w14:textId="28595052" w:rsidR="0077088B" w:rsidRDefault="0077088B">
            <w:pPr>
              <w:spacing w:after="160"/>
              <w:cnfStyle w:val="000000100000" w:firstRow="0" w:lastRow="0" w:firstColumn="0" w:lastColumn="0" w:oddVBand="0" w:evenVBand="0" w:oddHBand="1" w:evenHBand="0" w:firstRowFirstColumn="0" w:firstRowLastColumn="0" w:lastRowFirstColumn="0" w:lastRowLastColumn="0"/>
            </w:pPr>
            <w:r>
              <w:t>[</w:t>
            </w:r>
            <w:r w:rsidRPr="003945C4">
              <w:rPr>
                <w:color w:val="EE0000"/>
              </w:rPr>
              <w:t>Insert quarterly progress.]</w:t>
            </w:r>
            <w:r w:rsidR="003945C4" w:rsidRPr="003945C4">
              <w:rPr>
                <w:color w:val="EE0000"/>
              </w:rPr>
              <w:t xml:space="preserve"> @kerry</w:t>
            </w:r>
          </w:p>
        </w:tc>
        <w:tc>
          <w:tcPr>
            <w:tcW w:w="0" w:type="auto"/>
            <w:shd w:val="clear" w:color="D9EAD3" w:fill="D9EAD3"/>
            <w:hideMark/>
          </w:tcPr>
          <w:p w14:paraId="1C96EF5F" w14:textId="77777777" w:rsidR="0077088B" w:rsidRDefault="0077088B">
            <w:pPr>
              <w:spacing w:after="160"/>
              <w:cnfStyle w:val="000000100000" w:firstRow="0" w:lastRow="0" w:firstColumn="0" w:lastColumn="0" w:oddVBand="0" w:evenVBand="0" w:oddHBand="1" w:evenHBand="0" w:firstRowFirstColumn="0" w:firstRowLastColumn="0" w:lastRowFirstColumn="0" w:lastRowLastColumn="0"/>
            </w:pPr>
            <w:r>
              <w:t>[Insert next steps.]</w:t>
            </w:r>
          </w:p>
        </w:tc>
      </w:tr>
      <w:tr w:rsidR="0077088B" w14:paraId="125989F5" w14:textId="77777777" w:rsidTr="00005D90">
        <w:tc>
          <w:tcPr>
            <w:cnfStyle w:val="001000000000" w:firstRow="0" w:lastRow="0" w:firstColumn="1" w:lastColumn="0" w:oddVBand="0" w:evenVBand="0" w:oddHBand="0" w:evenHBand="0" w:firstRowFirstColumn="0" w:firstRowLastColumn="0" w:lastRowFirstColumn="0" w:lastRowLastColumn="0"/>
            <w:tcW w:w="0" w:type="auto"/>
            <w:hideMark/>
          </w:tcPr>
          <w:p w14:paraId="27448BBF" w14:textId="77777777" w:rsidR="0077088B" w:rsidRDefault="0077088B">
            <w:pPr>
              <w:spacing w:after="160"/>
            </w:pPr>
            <w:r>
              <w:t>8</w:t>
            </w:r>
          </w:p>
        </w:tc>
        <w:tc>
          <w:tcPr>
            <w:tcW w:w="0" w:type="auto"/>
            <w:hideMark/>
          </w:tcPr>
          <w:p w14:paraId="0BB1EAAB" w14:textId="77777777" w:rsidR="0077088B" w:rsidRDefault="0077088B">
            <w:pPr>
              <w:spacing w:after="160"/>
              <w:cnfStyle w:val="000000000000" w:firstRow="0" w:lastRow="0" w:firstColumn="0" w:lastColumn="0" w:oddVBand="0" w:evenVBand="0" w:oddHBand="0" w:evenHBand="0" w:firstRowFirstColumn="0" w:firstRowLastColumn="0" w:lastRowFirstColumn="0" w:lastRowLastColumn="0"/>
            </w:pPr>
            <w:r>
              <w:t>Use tenant feedback more effectively to shape service improvement.</w:t>
            </w:r>
          </w:p>
        </w:tc>
        <w:tc>
          <w:tcPr>
            <w:tcW w:w="0" w:type="auto"/>
            <w:hideMark/>
          </w:tcPr>
          <w:p w14:paraId="43845226" w14:textId="77777777" w:rsidR="0077088B" w:rsidRDefault="0077088B">
            <w:pPr>
              <w:spacing w:after="160"/>
              <w:cnfStyle w:val="000000000000" w:firstRow="0" w:lastRow="0" w:firstColumn="0" w:lastColumn="0" w:oddVBand="0" w:evenVBand="0" w:oddHBand="0" w:evenHBand="0" w:firstRowFirstColumn="0" w:firstRowLastColumn="0" w:lastRowFirstColumn="0" w:lastRowLastColumn="0"/>
            </w:pPr>
            <w:r>
              <w:t>Tenant Engagement team, Complaints and Data Manager, Repairs</w:t>
            </w:r>
          </w:p>
        </w:tc>
        <w:tc>
          <w:tcPr>
            <w:tcW w:w="0" w:type="auto"/>
            <w:hideMark/>
          </w:tcPr>
          <w:p w14:paraId="46506634" w14:textId="77777777" w:rsidR="0077088B" w:rsidRDefault="0077088B">
            <w:pPr>
              <w:spacing w:after="160"/>
              <w:cnfStyle w:val="000000000000" w:firstRow="0" w:lastRow="0" w:firstColumn="0" w:lastColumn="0" w:oddVBand="0" w:evenVBand="0" w:oddHBand="0" w:evenHBand="0" w:firstRowFirstColumn="0" w:firstRowLastColumn="0" w:lastRowFirstColumn="0" w:lastRowLastColumn="0"/>
            </w:pPr>
            <w:r>
              <w:t>Q2 2026/27</w:t>
            </w:r>
          </w:p>
        </w:tc>
        <w:tc>
          <w:tcPr>
            <w:tcW w:w="0" w:type="auto"/>
            <w:hideMark/>
          </w:tcPr>
          <w:p w14:paraId="156DB009" w14:textId="2942419E" w:rsidR="0077088B" w:rsidRDefault="0077088B">
            <w:pPr>
              <w:spacing w:after="160"/>
              <w:cnfStyle w:val="000000000000" w:firstRow="0" w:lastRow="0" w:firstColumn="0" w:lastColumn="0" w:oddVBand="0" w:evenVBand="0" w:oddHBand="0" w:evenHBand="0" w:firstRowFirstColumn="0" w:firstRowLastColumn="0" w:lastRowFirstColumn="0" w:lastRowLastColumn="0"/>
            </w:pPr>
            <w:r>
              <w:t>Green</w:t>
            </w:r>
          </w:p>
        </w:tc>
        <w:tc>
          <w:tcPr>
            <w:tcW w:w="0" w:type="auto"/>
            <w:hideMark/>
          </w:tcPr>
          <w:p w14:paraId="769CFEE2" w14:textId="77777777" w:rsidR="0077088B" w:rsidRDefault="00A64485">
            <w:pPr>
              <w:spacing w:after="160"/>
              <w:cnfStyle w:val="000000000000" w:firstRow="0" w:lastRow="0" w:firstColumn="0" w:lastColumn="0" w:oddVBand="0" w:evenVBand="0" w:oddHBand="0" w:evenHBand="0" w:firstRowFirstColumn="0" w:firstRowLastColumn="0" w:lastRowFirstColumn="0" w:lastRowLastColumn="0"/>
            </w:pPr>
            <w:r>
              <w:t xml:space="preserve">Tenant </w:t>
            </w:r>
            <w:proofErr w:type="gramStart"/>
            <w:r>
              <w:t>Panel  &amp;</w:t>
            </w:r>
            <w:proofErr w:type="gramEnd"/>
            <w:r>
              <w:t xml:space="preserve"> Building Safety Panel has been established.</w:t>
            </w:r>
          </w:p>
          <w:p w14:paraId="2C070643" w14:textId="22BA8D06" w:rsidR="00A64485" w:rsidRDefault="00A64485">
            <w:pPr>
              <w:spacing w:after="160"/>
              <w:cnfStyle w:val="000000000000" w:firstRow="0" w:lastRow="0" w:firstColumn="0" w:lastColumn="0" w:oddVBand="0" w:evenVBand="0" w:oddHBand="0" w:evenHBand="0" w:firstRowFirstColumn="0" w:firstRowLastColumn="0" w:lastRowFirstColumn="0" w:lastRowLastColumn="0"/>
            </w:pPr>
            <w:r>
              <w:t>Tenant Engagement &amp; Communication Polic</w:t>
            </w:r>
            <w:r w:rsidR="00612B08">
              <w:t>y</w:t>
            </w:r>
            <w:r>
              <w:t xml:space="preserve"> </w:t>
            </w:r>
            <w:r w:rsidR="00612B08">
              <w:t>as well as tenant Engagement Strategy has been developed for Housing Cabinet approval</w:t>
            </w:r>
          </w:p>
        </w:tc>
        <w:tc>
          <w:tcPr>
            <w:tcW w:w="0" w:type="auto"/>
            <w:hideMark/>
          </w:tcPr>
          <w:p w14:paraId="6E201093" w14:textId="77777777" w:rsidR="00612B08" w:rsidRDefault="00612B08">
            <w:pPr>
              <w:spacing w:after="160"/>
              <w:cnfStyle w:val="000000000000" w:firstRow="0" w:lastRow="0" w:firstColumn="0" w:lastColumn="0" w:oddVBand="0" w:evenVBand="0" w:oddHBand="0" w:evenHBand="0" w:firstRowFirstColumn="0" w:firstRowLastColumn="0" w:lastRowFirstColumn="0" w:lastRowLastColumn="0"/>
            </w:pPr>
            <w:r>
              <w:t>Policy 7 Strategy to be adopted and embedded.</w:t>
            </w:r>
          </w:p>
          <w:p w14:paraId="24880CA3" w14:textId="6FFA0E97" w:rsidR="0077088B" w:rsidRDefault="00A64485">
            <w:pPr>
              <w:spacing w:after="160"/>
              <w:cnfStyle w:val="000000000000" w:firstRow="0" w:lastRow="0" w:firstColumn="0" w:lastColumn="0" w:oddVBand="0" w:evenVBand="0" w:oddHBand="0" w:evenHBand="0" w:firstRowFirstColumn="0" w:firstRowLastColumn="0" w:lastRowFirstColumn="0" w:lastRowLastColumn="0"/>
            </w:pPr>
            <w:r>
              <w:t>Repair</w:t>
            </w:r>
            <w:r w:rsidR="00612B08">
              <w:t xml:space="preserve"> Panel to be </w:t>
            </w:r>
            <w:r w:rsidR="00CF3D6D">
              <w:t>developed.</w:t>
            </w:r>
          </w:p>
        </w:tc>
      </w:tr>
      <w:tr w:rsidR="0077088B" w14:paraId="1A4B69F6" w14:textId="77777777" w:rsidTr="00005D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D9EAD3" w:fill="D9EAD3"/>
            <w:hideMark/>
          </w:tcPr>
          <w:p w14:paraId="100E2D16" w14:textId="77777777" w:rsidR="0077088B" w:rsidRDefault="0077088B">
            <w:pPr>
              <w:spacing w:after="160"/>
            </w:pPr>
            <w:r>
              <w:t>9</w:t>
            </w:r>
          </w:p>
        </w:tc>
        <w:tc>
          <w:tcPr>
            <w:tcW w:w="0" w:type="auto"/>
            <w:shd w:val="clear" w:color="D9EAD3" w:fill="D9EAD3"/>
            <w:hideMark/>
          </w:tcPr>
          <w:p w14:paraId="0AE4577F" w14:textId="77777777" w:rsidR="0077088B" w:rsidRDefault="0077088B">
            <w:pPr>
              <w:spacing w:after="160"/>
              <w:cnfStyle w:val="000000100000" w:firstRow="0" w:lastRow="0" w:firstColumn="0" w:lastColumn="0" w:oddVBand="0" w:evenVBand="0" w:oddHBand="1" w:evenHBand="0" w:firstRowFirstColumn="0" w:firstRowLastColumn="0" w:lastRowFirstColumn="0" w:lastRowLastColumn="0"/>
            </w:pPr>
            <w:r>
              <w:t>Improve use of complaints data, learning and wider performance information.</w:t>
            </w:r>
          </w:p>
        </w:tc>
        <w:tc>
          <w:tcPr>
            <w:tcW w:w="0" w:type="auto"/>
            <w:shd w:val="clear" w:color="D9EAD3" w:fill="D9EAD3"/>
            <w:hideMark/>
          </w:tcPr>
          <w:p w14:paraId="74FD66F2" w14:textId="77777777" w:rsidR="0077088B" w:rsidRDefault="0077088B">
            <w:pPr>
              <w:spacing w:after="160"/>
              <w:cnfStyle w:val="000000100000" w:firstRow="0" w:lastRow="0" w:firstColumn="0" w:lastColumn="0" w:oddVBand="0" w:evenVBand="0" w:oddHBand="1" w:evenHBand="0" w:firstRowFirstColumn="0" w:firstRowLastColumn="0" w:lastRowFirstColumn="0" w:lastRowLastColumn="0"/>
            </w:pPr>
            <w:r>
              <w:t>Complaints and Data Manager, Performance team and Housing Management Team</w:t>
            </w:r>
          </w:p>
        </w:tc>
        <w:tc>
          <w:tcPr>
            <w:tcW w:w="0" w:type="auto"/>
            <w:shd w:val="clear" w:color="D9EAD3" w:fill="D9EAD3"/>
            <w:hideMark/>
          </w:tcPr>
          <w:p w14:paraId="38633A84" w14:textId="77777777" w:rsidR="0077088B" w:rsidRDefault="0077088B">
            <w:pPr>
              <w:spacing w:after="160"/>
              <w:cnfStyle w:val="000000100000" w:firstRow="0" w:lastRow="0" w:firstColumn="0" w:lastColumn="0" w:oddVBand="0" w:evenVBand="0" w:oddHBand="1" w:evenHBand="0" w:firstRowFirstColumn="0" w:firstRowLastColumn="0" w:lastRowFirstColumn="0" w:lastRowLastColumn="0"/>
            </w:pPr>
            <w:r>
              <w:t>Q2–Q4 2026/27</w:t>
            </w:r>
          </w:p>
        </w:tc>
        <w:tc>
          <w:tcPr>
            <w:tcW w:w="0" w:type="auto"/>
            <w:shd w:val="clear" w:color="D9EAD3" w:fill="D9EAD3"/>
            <w:hideMark/>
          </w:tcPr>
          <w:p w14:paraId="51C8A34F" w14:textId="3C0D7527" w:rsidR="0077088B" w:rsidRDefault="0077088B">
            <w:pPr>
              <w:spacing w:after="160"/>
              <w:cnfStyle w:val="000000100000" w:firstRow="0" w:lastRow="0" w:firstColumn="0" w:lastColumn="0" w:oddVBand="0" w:evenVBand="0" w:oddHBand="1" w:evenHBand="0" w:firstRowFirstColumn="0" w:firstRowLastColumn="0" w:lastRowFirstColumn="0" w:lastRowLastColumn="0"/>
            </w:pPr>
            <w:r>
              <w:t xml:space="preserve">Green </w:t>
            </w:r>
          </w:p>
        </w:tc>
        <w:tc>
          <w:tcPr>
            <w:tcW w:w="0" w:type="auto"/>
            <w:shd w:val="clear" w:color="D9EAD3" w:fill="D9EAD3"/>
            <w:hideMark/>
          </w:tcPr>
          <w:p w14:paraId="192DE0DF" w14:textId="659963F8" w:rsidR="0077088B" w:rsidRDefault="00A64485">
            <w:pPr>
              <w:spacing w:after="160"/>
              <w:cnfStyle w:val="000000100000" w:firstRow="0" w:lastRow="0" w:firstColumn="0" w:lastColumn="0" w:oddVBand="0" w:evenVBand="0" w:oddHBand="1" w:evenHBand="0" w:firstRowFirstColumn="0" w:firstRowLastColumn="0" w:lastRowFirstColumn="0" w:lastRowLastColumn="0"/>
            </w:pPr>
            <w:r>
              <w:t>Complaint Dashboard and Action Plan has been developed</w:t>
            </w:r>
          </w:p>
        </w:tc>
        <w:tc>
          <w:tcPr>
            <w:tcW w:w="0" w:type="auto"/>
            <w:shd w:val="clear" w:color="D9EAD3" w:fill="D9EAD3"/>
            <w:hideMark/>
          </w:tcPr>
          <w:p w14:paraId="10189651" w14:textId="0A81E423" w:rsidR="0077088B" w:rsidRDefault="007C41FC">
            <w:pPr>
              <w:spacing w:after="160"/>
              <w:cnfStyle w:val="000000100000" w:firstRow="0" w:lastRow="0" w:firstColumn="0" w:lastColumn="0" w:oddVBand="0" w:evenVBand="0" w:oddHBand="1" w:evenHBand="0" w:firstRowFirstColumn="0" w:firstRowLastColumn="0" w:lastRowFirstColumn="0" w:lastRowLastColumn="0"/>
            </w:pPr>
            <w:r>
              <w:t>Complaints &amp; Data Manager commenced employment in July 2026 and will push forward as part of the action plan</w:t>
            </w:r>
          </w:p>
        </w:tc>
      </w:tr>
      <w:tr w:rsidR="0077088B" w14:paraId="48F62643" w14:textId="77777777" w:rsidTr="00005D90">
        <w:tc>
          <w:tcPr>
            <w:cnfStyle w:val="001000000000" w:firstRow="0" w:lastRow="0" w:firstColumn="1" w:lastColumn="0" w:oddVBand="0" w:evenVBand="0" w:oddHBand="0" w:evenHBand="0" w:firstRowFirstColumn="0" w:firstRowLastColumn="0" w:lastRowFirstColumn="0" w:lastRowLastColumn="0"/>
            <w:tcW w:w="0" w:type="auto"/>
            <w:hideMark/>
          </w:tcPr>
          <w:p w14:paraId="5A2CAF3F" w14:textId="77777777" w:rsidR="0077088B" w:rsidRDefault="0077088B">
            <w:pPr>
              <w:spacing w:after="160"/>
            </w:pPr>
            <w:r>
              <w:t>10</w:t>
            </w:r>
          </w:p>
        </w:tc>
        <w:tc>
          <w:tcPr>
            <w:tcW w:w="0" w:type="auto"/>
            <w:hideMark/>
          </w:tcPr>
          <w:p w14:paraId="7F4BFC85" w14:textId="77777777" w:rsidR="0077088B" w:rsidRDefault="0077088B">
            <w:pPr>
              <w:spacing w:after="160"/>
              <w:cnfStyle w:val="000000000000" w:firstRow="0" w:lastRow="0" w:firstColumn="0" w:lastColumn="0" w:oddVBand="0" w:evenVBand="0" w:oddHBand="0" w:evenHBand="0" w:firstRowFirstColumn="0" w:firstRowLastColumn="0" w:lastRowFirstColumn="0" w:lastRowLastColumn="0"/>
            </w:pPr>
            <w:r>
              <w:t>Maintain proactive learning from the Housing Ombudsman and wider sector.</w:t>
            </w:r>
          </w:p>
        </w:tc>
        <w:tc>
          <w:tcPr>
            <w:tcW w:w="0" w:type="auto"/>
            <w:hideMark/>
          </w:tcPr>
          <w:p w14:paraId="21236517" w14:textId="77777777" w:rsidR="0077088B" w:rsidRDefault="0077088B">
            <w:pPr>
              <w:spacing w:after="160"/>
              <w:cnfStyle w:val="000000000000" w:firstRow="0" w:lastRow="0" w:firstColumn="0" w:lastColumn="0" w:oddVBand="0" w:evenVBand="0" w:oddHBand="0" w:evenHBand="0" w:firstRowFirstColumn="0" w:firstRowLastColumn="0" w:lastRowFirstColumn="0" w:lastRowLastColumn="0"/>
            </w:pPr>
            <w:r>
              <w:t>Complaints and Data Manager and Head of Housing Asset / Neighbourhood</w:t>
            </w:r>
          </w:p>
        </w:tc>
        <w:tc>
          <w:tcPr>
            <w:tcW w:w="0" w:type="auto"/>
            <w:hideMark/>
          </w:tcPr>
          <w:p w14:paraId="65E9F70C" w14:textId="77777777" w:rsidR="0077088B" w:rsidRDefault="0077088B">
            <w:pPr>
              <w:spacing w:after="160"/>
              <w:cnfStyle w:val="000000000000" w:firstRow="0" w:lastRow="0" w:firstColumn="0" w:lastColumn="0" w:oddVBand="0" w:evenVBand="0" w:oddHBand="0" w:evenHBand="0" w:firstRowFirstColumn="0" w:firstRowLastColumn="0" w:lastRowFirstColumn="0" w:lastRowLastColumn="0"/>
            </w:pPr>
            <w:r>
              <w:t>Ongoing throughout 2026/27</w:t>
            </w:r>
          </w:p>
        </w:tc>
        <w:tc>
          <w:tcPr>
            <w:tcW w:w="0" w:type="auto"/>
            <w:hideMark/>
          </w:tcPr>
          <w:p w14:paraId="5BB78370" w14:textId="2632E247" w:rsidR="0077088B" w:rsidRDefault="0077088B">
            <w:pPr>
              <w:spacing w:after="160"/>
              <w:cnfStyle w:val="000000000000" w:firstRow="0" w:lastRow="0" w:firstColumn="0" w:lastColumn="0" w:oddVBand="0" w:evenVBand="0" w:oddHBand="0" w:evenHBand="0" w:firstRowFirstColumn="0" w:firstRowLastColumn="0" w:lastRowFirstColumn="0" w:lastRowLastColumn="0"/>
            </w:pPr>
            <w:r>
              <w:t xml:space="preserve">Green </w:t>
            </w:r>
          </w:p>
        </w:tc>
        <w:tc>
          <w:tcPr>
            <w:tcW w:w="0" w:type="auto"/>
            <w:hideMark/>
          </w:tcPr>
          <w:p w14:paraId="2A3A5819" w14:textId="032B81F6" w:rsidR="0077088B" w:rsidRDefault="009061D4">
            <w:pPr>
              <w:spacing w:after="160"/>
              <w:cnfStyle w:val="000000000000" w:firstRow="0" w:lastRow="0" w:firstColumn="0" w:lastColumn="0" w:oddVBand="0" w:evenVBand="0" w:oddHBand="0" w:evenHBand="0" w:firstRowFirstColumn="0" w:firstRowLastColumn="0" w:lastRowFirstColumn="0" w:lastRowLastColumn="0"/>
            </w:pPr>
            <w:r>
              <w:t xml:space="preserve">Review has been undertaken </w:t>
            </w:r>
            <w:proofErr w:type="gramStart"/>
            <w:r>
              <w:t>in regards to</w:t>
            </w:r>
            <w:proofErr w:type="gramEnd"/>
            <w:r>
              <w:t xml:space="preserve"> vulnerabilities </w:t>
            </w:r>
            <w:proofErr w:type="gramStart"/>
            <w:r>
              <w:t>in regards to</w:t>
            </w:r>
            <w:proofErr w:type="gramEnd"/>
            <w:r>
              <w:t xml:space="preserve"> compliance as well as window safety.</w:t>
            </w:r>
          </w:p>
        </w:tc>
        <w:tc>
          <w:tcPr>
            <w:tcW w:w="0" w:type="auto"/>
            <w:hideMark/>
          </w:tcPr>
          <w:p w14:paraId="1B528CF4" w14:textId="5F9655E6" w:rsidR="0077088B" w:rsidRDefault="00BB7007">
            <w:pPr>
              <w:spacing w:after="160"/>
              <w:cnfStyle w:val="000000000000" w:firstRow="0" w:lastRow="0" w:firstColumn="0" w:lastColumn="0" w:oddVBand="0" w:evenVBand="0" w:oddHBand="0" w:evenHBand="0" w:firstRowFirstColumn="0" w:firstRowLastColumn="0" w:lastRowFirstColumn="0" w:lastRowLastColumn="0"/>
            </w:pPr>
            <w:r>
              <w:t>Keep under review</w:t>
            </w:r>
          </w:p>
        </w:tc>
      </w:tr>
    </w:tbl>
    <w:p w14:paraId="65218D03" w14:textId="77777777" w:rsidR="0077088B" w:rsidRDefault="0077088B">
      <w:pPr>
        <w:pStyle w:val="Heading1"/>
        <w:rPr>
          <w:rFonts w:cstheme="minorBidi"/>
          <w:lang w:eastAsia="en-GB"/>
        </w:rPr>
      </w:pPr>
      <w:r>
        <w:rPr>
          <w:rFonts w:cstheme="minorBidi"/>
        </w:rPr>
        <w:lastRenderedPageBreak/>
        <w:t>5. Key Themes, Learning and Tenant Impact</w:t>
      </w:r>
    </w:p>
    <w:tbl>
      <w:tblPr>
        <w:tblStyle w:val="GridTable4-Accent1"/>
        <w:tblW w:w="0" w:type="auto"/>
        <w:tblLook w:val="04A0" w:firstRow="1" w:lastRow="0" w:firstColumn="1" w:lastColumn="0" w:noHBand="0" w:noVBand="1"/>
      </w:tblPr>
      <w:tblGrid>
        <w:gridCol w:w="2308"/>
        <w:gridCol w:w="3211"/>
        <w:gridCol w:w="2716"/>
        <w:gridCol w:w="3066"/>
        <w:gridCol w:w="2637"/>
      </w:tblGrid>
      <w:tr w:rsidR="00C00B1E" w14:paraId="748EC9A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6AA84F"/>
              <w:left w:val="single" w:sz="8" w:space="0" w:color="6AA84F"/>
              <w:bottom w:val="single" w:sz="8" w:space="0" w:color="6AA84F"/>
              <w:right w:val="single" w:sz="8" w:space="0" w:color="6AA84F"/>
            </w:tcBorders>
            <w:shd w:val="clear" w:color="auto" w:fill="2F6B3F"/>
            <w:hideMark/>
          </w:tcPr>
          <w:p w14:paraId="3E2ADBE6" w14:textId="77777777" w:rsidR="00C00B1E" w:rsidRDefault="00C00B1E">
            <w:pPr>
              <w:spacing w:after="160"/>
              <w:rPr>
                <w:lang w:eastAsia="en-GB"/>
              </w:rPr>
            </w:pPr>
            <w:r>
              <w:t>Theme / learning area</w:t>
            </w:r>
          </w:p>
        </w:tc>
        <w:tc>
          <w:tcPr>
            <w:tcW w:w="0" w:type="auto"/>
            <w:tcBorders>
              <w:top w:val="single" w:sz="8" w:space="0" w:color="6AA84F"/>
              <w:bottom w:val="single" w:sz="8" w:space="0" w:color="6AA84F"/>
              <w:right w:val="single" w:sz="8" w:space="0" w:color="6AA84F"/>
            </w:tcBorders>
            <w:shd w:val="clear" w:color="auto" w:fill="2F6B3F"/>
            <w:hideMark/>
          </w:tcPr>
          <w:p w14:paraId="0D42CBCB" w14:textId="77777777" w:rsidR="00C00B1E" w:rsidRDefault="00C00B1E">
            <w:pPr>
              <w:spacing w:after="160"/>
              <w:cnfStyle w:val="100000000000" w:firstRow="1" w:lastRow="0" w:firstColumn="0" w:lastColumn="0" w:oddVBand="0" w:evenVBand="0" w:oddHBand="0" w:evenHBand="0" w:firstRowFirstColumn="0" w:firstRowLastColumn="0" w:lastRowFirstColumn="0" w:lastRowLastColumn="0"/>
            </w:pPr>
            <w:r>
              <w:t>Evidence from this quarter</w:t>
            </w:r>
          </w:p>
        </w:tc>
        <w:tc>
          <w:tcPr>
            <w:tcW w:w="0" w:type="auto"/>
            <w:tcBorders>
              <w:top w:val="single" w:sz="8" w:space="0" w:color="6AA84F"/>
              <w:bottom w:val="single" w:sz="8" w:space="0" w:color="6AA84F"/>
              <w:right w:val="single" w:sz="8" w:space="0" w:color="6AA84F"/>
            </w:tcBorders>
            <w:shd w:val="clear" w:color="auto" w:fill="2F6B3F"/>
            <w:hideMark/>
          </w:tcPr>
          <w:p w14:paraId="5690D7ED" w14:textId="77777777" w:rsidR="00C00B1E" w:rsidRDefault="00C00B1E">
            <w:pPr>
              <w:spacing w:after="160"/>
              <w:cnfStyle w:val="100000000000" w:firstRow="1" w:lastRow="0" w:firstColumn="0" w:lastColumn="0" w:oddVBand="0" w:evenVBand="0" w:oddHBand="0" w:evenHBand="0" w:firstRowFirstColumn="0" w:firstRowLastColumn="0" w:lastRowFirstColumn="0" w:lastRowLastColumn="0"/>
            </w:pPr>
            <w:r>
              <w:t>Tenant impact</w:t>
            </w:r>
          </w:p>
        </w:tc>
        <w:tc>
          <w:tcPr>
            <w:tcW w:w="0" w:type="auto"/>
            <w:tcBorders>
              <w:top w:val="single" w:sz="8" w:space="0" w:color="6AA84F"/>
              <w:bottom w:val="single" w:sz="8" w:space="0" w:color="6AA84F"/>
              <w:right w:val="single" w:sz="8" w:space="0" w:color="6AA84F"/>
            </w:tcBorders>
            <w:shd w:val="clear" w:color="auto" w:fill="2F6B3F"/>
            <w:hideMark/>
          </w:tcPr>
          <w:p w14:paraId="0DB88D3F" w14:textId="77777777" w:rsidR="00C00B1E" w:rsidRDefault="00C00B1E">
            <w:pPr>
              <w:spacing w:after="160"/>
              <w:cnfStyle w:val="100000000000" w:firstRow="1" w:lastRow="0" w:firstColumn="0" w:lastColumn="0" w:oddVBand="0" w:evenVBand="0" w:oddHBand="0" w:evenHBand="0" w:firstRowFirstColumn="0" w:firstRowLastColumn="0" w:lastRowFirstColumn="0" w:lastRowLastColumn="0"/>
            </w:pPr>
            <w:r>
              <w:t>Action being taken</w:t>
            </w:r>
          </w:p>
        </w:tc>
        <w:tc>
          <w:tcPr>
            <w:tcW w:w="0" w:type="auto"/>
            <w:tcBorders>
              <w:top w:val="single" w:sz="8" w:space="0" w:color="6AA84F"/>
              <w:bottom w:val="single" w:sz="8" w:space="0" w:color="6AA84F"/>
              <w:right w:val="single" w:sz="8" w:space="0" w:color="6AA84F"/>
            </w:tcBorders>
            <w:shd w:val="clear" w:color="auto" w:fill="2F6B3F"/>
            <w:hideMark/>
          </w:tcPr>
          <w:p w14:paraId="7C0F5DCF" w14:textId="77777777" w:rsidR="00C00B1E" w:rsidRDefault="00C00B1E">
            <w:pPr>
              <w:spacing w:after="160"/>
              <w:cnfStyle w:val="100000000000" w:firstRow="1" w:lastRow="0" w:firstColumn="0" w:lastColumn="0" w:oddVBand="0" w:evenVBand="0" w:oddHBand="0" w:evenHBand="0" w:firstRowFirstColumn="0" w:firstRowLastColumn="0" w:lastRowFirstColumn="0" w:lastRowLastColumn="0"/>
            </w:pPr>
            <w:r>
              <w:t>Expected outcome</w:t>
            </w:r>
          </w:p>
        </w:tc>
      </w:tr>
      <w:tr w:rsidR="00C00B1E" w14:paraId="21816DF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6AA84F"/>
              <w:bottom w:val="single" w:sz="8" w:space="0" w:color="6AA84F"/>
              <w:right w:val="single" w:sz="8" w:space="0" w:color="6AA84F"/>
            </w:tcBorders>
            <w:shd w:val="clear" w:color="auto" w:fill="D9EAD3"/>
            <w:hideMark/>
          </w:tcPr>
          <w:p w14:paraId="24DBFF3D" w14:textId="77777777" w:rsidR="00C00B1E" w:rsidRDefault="00C00B1E">
            <w:pPr>
              <w:spacing w:after="160"/>
            </w:pPr>
            <w:r>
              <w:rPr>
                <w:color w:val="000000"/>
              </w:rPr>
              <w:t>Communication and updates</w:t>
            </w:r>
          </w:p>
        </w:tc>
        <w:tc>
          <w:tcPr>
            <w:tcW w:w="0" w:type="auto"/>
            <w:tcBorders>
              <w:top w:val="nil"/>
              <w:left w:val="nil"/>
              <w:bottom w:val="single" w:sz="8" w:space="0" w:color="6AA84F"/>
              <w:right w:val="single" w:sz="8" w:space="0" w:color="6AA84F"/>
            </w:tcBorders>
            <w:shd w:val="clear" w:color="auto" w:fill="D9EAD3"/>
            <w:hideMark/>
          </w:tcPr>
          <w:p w14:paraId="26DB97B6" w14:textId="77777777" w:rsidR="00C00B1E" w:rsidRDefault="00C00B1E">
            <w:pPr>
              <w:spacing w:after="160"/>
              <w:cnfStyle w:val="000000100000" w:firstRow="0" w:lastRow="0" w:firstColumn="0" w:lastColumn="0" w:oddVBand="0" w:evenVBand="0" w:oddHBand="1" w:evenHBand="0" w:firstRowFirstColumn="0" w:firstRowLastColumn="0" w:lastRowFirstColumn="0" w:lastRowLastColumn="0"/>
            </w:pPr>
            <w:r>
              <w:rPr>
                <w:color w:val="000000"/>
              </w:rPr>
              <w:t>Repeated concerns about unanswered calls, lack of updates, unclear explanations, missing records of contact and residents having to chase for progress.</w:t>
            </w:r>
          </w:p>
        </w:tc>
        <w:tc>
          <w:tcPr>
            <w:tcW w:w="0" w:type="auto"/>
            <w:tcBorders>
              <w:top w:val="nil"/>
              <w:left w:val="nil"/>
              <w:bottom w:val="single" w:sz="8" w:space="0" w:color="6AA84F"/>
              <w:right w:val="single" w:sz="8" w:space="0" w:color="6AA84F"/>
            </w:tcBorders>
            <w:shd w:val="clear" w:color="auto" w:fill="D9EAD3"/>
            <w:hideMark/>
          </w:tcPr>
          <w:p w14:paraId="5157DEB5" w14:textId="77777777" w:rsidR="00C00B1E" w:rsidRDefault="00C00B1E">
            <w:pPr>
              <w:spacing w:after="160"/>
              <w:cnfStyle w:val="000000100000" w:firstRow="0" w:lastRow="0" w:firstColumn="0" w:lastColumn="0" w:oddVBand="0" w:evenVBand="0" w:oddHBand="1" w:evenHBand="0" w:firstRowFirstColumn="0" w:firstRowLastColumn="0" w:lastRowFirstColumn="0" w:lastRowLastColumn="0"/>
            </w:pPr>
            <w:r>
              <w:rPr>
                <w:color w:val="000000"/>
              </w:rPr>
              <w:t>Residents reported frustration, distress, loss of trust and escalation to Stage 2, the Ombudsman, MPs or other external bodies.</w:t>
            </w:r>
          </w:p>
        </w:tc>
        <w:tc>
          <w:tcPr>
            <w:tcW w:w="0" w:type="auto"/>
            <w:tcBorders>
              <w:top w:val="nil"/>
              <w:left w:val="nil"/>
              <w:bottom w:val="single" w:sz="8" w:space="0" w:color="6AA84F"/>
              <w:right w:val="single" w:sz="8" w:space="0" w:color="6AA84F"/>
            </w:tcBorders>
            <w:shd w:val="clear" w:color="auto" w:fill="D9EAD3"/>
            <w:hideMark/>
          </w:tcPr>
          <w:p w14:paraId="3307AB6F" w14:textId="77777777" w:rsidR="00C00B1E" w:rsidRDefault="00C00B1E">
            <w:pPr>
              <w:spacing w:after="160"/>
              <w:cnfStyle w:val="000000100000" w:firstRow="0" w:lastRow="0" w:firstColumn="0" w:lastColumn="0" w:oddVBand="0" w:evenVBand="0" w:oddHBand="1" w:evenHBand="0" w:firstRowFirstColumn="0" w:firstRowLastColumn="0" w:lastRowFirstColumn="0" w:lastRowLastColumn="0"/>
            </w:pPr>
            <w:r>
              <w:rPr>
                <w:color w:val="000000"/>
              </w:rPr>
              <w:t>Strengthen case ownership, diary prompts, call recording notes and proactive updates at key stages.</w:t>
            </w:r>
          </w:p>
        </w:tc>
        <w:tc>
          <w:tcPr>
            <w:tcW w:w="0" w:type="auto"/>
            <w:tcBorders>
              <w:top w:val="nil"/>
              <w:left w:val="nil"/>
              <w:bottom w:val="single" w:sz="8" w:space="0" w:color="6AA84F"/>
              <w:right w:val="single" w:sz="8" w:space="0" w:color="6AA84F"/>
            </w:tcBorders>
            <w:shd w:val="clear" w:color="auto" w:fill="D9EAD3"/>
            <w:hideMark/>
          </w:tcPr>
          <w:p w14:paraId="48488775" w14:textId="77777777" w:rsidR="00C00B1E" w:rsidRDefault="00C00B1E">
            <w:pPr>
              <w:spacing w:after="160"/>
              <w:cnfStyle w:val="000000100000" w:firstRow="0" w:lastRow="0" w:firstColumn="0" w:lastColumn="0" w:oddVBand="0" w:evenVBand="0" w:oddHBand="1" w:evenHBand="0" w:firstRowFirstColumn="0" w:firstRowLastColumn="0" w:lastRowFirstColumn="0" w:lastRowLastColumn="0"/>
            </w:pPr>
            <w:r>
              <w:rPr>
                <w:color w:val="000000"/>
              </w:rPr>
              <w:t>Residents receive clearer, earlier updates and fewer complaints escalate because residents understand what is happening and when.</w:t>
            </w:r>
          </w:p>
        </w:tc>
      </w:tr>
      <w:tr w:rsidR="00C00B1E" w14:paraId="5341D10A" w14:textId="77777777">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6AA84F"/>
              <w:bottom w:val="single" w:sz="8" w:space="0" w:color="6AA84F"/>
              <w:right w:val="single" w:sz="8" w:space="0" w:color="6AA84F"/>
            </w:tcBorders>
            <w:hideMark/>
          </w:tcPr>
          <w:p w14:paraId="7D63999A" w14:textId="77777777" w:rsidR="00C00B1E" w:rsidRDefault="00C00B1E">
            <w:pPr>
              <w:spacing w:after="160"/>
            </w:pPr>
            <w:r>
              <w:t>Repairs, damp and mould and property condition</w:t>
            </w:r>
          </w:p>
        </w:tc>
        <w:tc>
          <w:tcPr>
            <w:tcW w:w="0" w:type="auto"/>
            <w:tcBorders>
              <w:top w:val="nil"/>
              <w:left w:val="nil"/>
              <w:bottom w:val="single" w:sz="8" w:space="0" w:color="6AA84F"/>
              <w:right w:val="single" w:sz="8" w:space="0" w:color="6AA84F"/>
            </w:tcBorders>
            <w:hideMark/>
          </w:tcPr>
          <w:p w14:paraId="7108AE17" w14:textId="77777777" w:rsidR="00C00B1E" w:rsidRDefault="00C00B1E">
            <w:pPr>
              <w:spacing w:after="160"/>
              <w:cnfStyle w:val="000000000000" w:firstRow="0" w:lastRow="0" w:firstColumn="0" w:lastColumn="0" w:oddVBand="0" w:evenVBand="0" w:oddHBand="0" w:evenHBand="0" w:firstRowFirstColumn="0" w:firstRowLastColumn="0" w:lastRowFirstColumn="0" w:lastRowLastColumn="0"/>
            </w:pPr>
            <w:r>
              <w:t>High volume of complaints about leaks, damp and mould, windows and doors, asbestos, drainage, kitchens, bathrooms and unresolved follow-on works.</w:t>
            </w:r>
          </w:p>
        </w:tc>
        <w:tc>
          <w:tcPr>
            <w:tcW w:w="0" w:type="auto"/>
            <w:tcBorders>
              <w:top w:val="nil"/>
              <w:left w:val="nil"/>
              <w:bottom w:val="single" w:sz="8" w:space="0" w:color="6AA84F"/>
              <w:right w:val="single" w:sz="8" w:space="0" w:color="6AA84F"/>
            </w:tcBorders>
            <w:hideMark/>
          </w:tcPr>
          <w:p w14:paraId="750BA003" w14:textId="77777777" w:rsidR="00C00B1E" w:rsidRDefault="00C00B1E">
            <w:pPr>
              <w:spacing w:after="160"/>
              <w:cnfStyle w:val="000000000000" w:firstRow="0" w:lastRow="0" w:firstColumn="0" w:lastColumn="0" w:oddVBand="0" w:evenVBand="0" w:oddHBand="0" w:evenHBand="0" w:firstRowFirstColumn="0" w:firstRowLastColumn="0" w:lastRowFirstColumn="0" w:lastRowLastColumn="0"/>
            </w:pPr>
            <w:r>
              <w:t>Residents described health concerns, anxiety, cold homes, repeated disruption, loss of confidence and concerns about safety or habitability.</w:t>
            </w:r>
          </w:p>
        </w:tc>
        <w:tc>
          <w:tcPr>
            <w:tcW w:w="0" w:type="auto"/>
            <w:tcBorders>
              <w:top w:val="nil"/>
              <w:left w:val="nil"/>
              <w:bottom w:val="single" w:sz="8" w:space="0" w:color="6AA84F"/>
              <w:right w:val="single" w:sz="8" w:space="0" w:color="6AA84F"/>
            </w:tcBorders>
            <w:hideMark/>
          </w:tcPr>
          <w:p w14:paraId="5A069670" w14:textId="77777777" w:rsidR="00C00B1E" w:rsidRDefault="00C00B1E">
            <w:pPr>
              <w:spacing w:after="160"/>
              <w:cnfStyle w:val="000000000000" w:firstRow="0" w:lastRow="0" w:firstColumn="0" w:lastColumn="0" w:oddVBand="0" w:evenVBand="0" w:oddHBand="0" w:evenHBand="0" w:firstRowFirstColumn="0" w:firstRowLastColumn="0" w:lastRowFirstColumn="0" w:lastRowLastColumn="0"/>
            </w:pPr>
            <w:r>
              <w:t>Improve handoffs between inspections and repair orders, track agreed complaint actions to completion and strengthen damp and mould oversight.</w:t>
            </w:r>
          </w:p>
        </w:tc>
        <w:tc>
          <w:tcPr>
            <w:tcW w:w="0" w:type="auto"/>
            <w:tcBorders>
              <w:top w:val="nil"/>
              <w:left w:val="nil"/>
              <w:bottom w:val="single" w:sz="8" w:space="0" w:color="6AA84F"/>
              <w:right w:val="single" w:sz="8" w:space="0" w:color="6AA84F"/>
            </w:tcBorders>
            <w:hideMark/>
          </w:tcPr>
          <w:p w14:paraId="49C63090" w14:textId="77777777" w:rsidR="00C00B1E" w:rsidRDefault="00C00B1E">
            <w:pPr>
              <w:spacing w:after="160"/>
              <w:cnfStyle w:val="000000000000" w:firstRow="0" w:lastRow="0" w:firstColumn="0" w:lastColumn="0" w:oddVBand="0" w:evenVBand="0" w:oddHBand="0" w:evenHBand="0" w:firstRowFirstColumn="0" w:firstRowLastColumn="0" w:lastRowFirstColumn="0" w:lastRowLastColumn="0"/>
            </w:pPr>
            <w:r>
              <w:t>Earlier resolution of root causes, fewer repeat visits and stronger evidence that actions promised in complaint responses have been completed.</w:t>
            </w:r>
          </w:p>
        </w:tc>
      </w:tr>
      <w:tr w:rsidR="00C00B1E" w14:paraId="1B1B78E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6AA84F"/>
              <w:bottom w:val="single" w:sz="8" w:space="0" w:color="6AA84F"/>
              <w:right w:val="single" w:sz="8" w:space="0" w:color="6AA84F"/>
            </w:tcBorders>
            <w:shd w:val="clear" w:color="auto" w:fill="D9EAD3"/>
            <w:hideMark/>
          </w:tcPr>
          <w:p w14:paraId="1EFD4679" w14:textId="77777777" w:rsidR="00C00B1E" w:rsidRDefault="00C00B1E">
            <w:pPr>
              <w:spacing w:after="160"/>
            </w:pPr>
            <w:r>
              <w:rPr>
                <w:color w:val="000000"/>
              </w:rPr>
              <w:t>Gas, heating and contractor performance</w:t>
            </w:r>
          </w:p>
        </w:tc>
        <w:tc>
          <w:tcPr>
            <w:tcW w:w="0" w:type="auto"/>
            <w:tcBorders>
              <w:top w:val="nil"/>
              <w:left w:val="nil"/>
              <w:bottom w:val="single" w:sz="8" w:space="0" w:color="6AA84F"/>
              <w:right w:val="single" w:sz="8" w:space="0" w:color="6AA84F"/>
            </w:tcBorders>
            <w:shd w:val="clear" w:color="auto" w:fill="D9EAD3"/>
            <w:hideMark/>
          </w:tcPr>
          <w:p w14:paraId="758561A0" w14:textId="77777777" w:rsidR="00C00B1E" w:rsidRDefault="00C00B1E">
            <w:pPr>
              <w:spacing w:after="160"/>
              <w:cnfStyle w:val="000000100000" w:firstRow="0" w:lastRow="0" w:firstColumn="0" w:lastColumn="0" w:oddVBand="0" w:evenVBand="0" w:oddHBand="1" w:evenHBand="0" w:firstRowFirstColumn="0" w:firstRowLastColumn="0" w:lastRowFirstColumn="0" w:lastRowLastColumn="0"/>
            </w:pPr>
            <w:r>
              <w:rPr>
                <w:color w:val="000000"/>
              </w:rPr>
              <w:t>Complaints highlighted missed appointments, unclear access arrangements, generic appointment windows, capping decisions and concern that vulnerabilities were not considered before action.</w:t>
            </w:r>
          </w:p>
        </w:tc>
        <w:tc>
          <w:tcPr>
            <w:tcW w:w="0" w:type="auto"/>
            <w:tcBorders>
              <w:top w:val="nil"/>
              <w:left w:val="nil"/>
              <w:bottom w:val="single" w:sz="8" w:space="0" w:color="6AA84F"/>
              <w:right w:val="single" w:sz="8" w:space="0" w:color="6AA84F"/>
            </w:tcBorders>
            <w:shd w:val="clear" w:color="auto" w:fill="D9EAD3"/>
            <w:hideMark/>
          </w:tcPr>
          <w:p w14:paraId="18FF36E1" w14:textId="77777777" w:rsidR="00C00B1E" w:rsidRDefault="00C00B1E">
            <w:pPr>
              <w:spacing w:after="160"/>
              <w:cnfStyle w:val="000000100000" w:firstRow="0" w:lastRow="0" w:firstColumn="0" w:lastColumn="0" w:oddVBand="0" w:evenVBand="0" w:oddHBand="1" w:evenHBand="0" w:firstRowFirstColumn="0" w:firstRowLastColumn="0" w:lastRowFirstColumn="0" w:lastRowLastColumn="0"/>
            </w:pPr>
            <w:r>
              <w:rPr>
                <w:color w:val="000000"/>
              </w:rPr>
              <w:t>Some residents reported distress, loss of time, disruption to work, lack of heating or hot water and heightened anxiety where vulnerability was present.</w:t>
            </w:r>
          </w:p>
        </w:tc>
        <w:tc>
          <w:tcPr>
            <w:tcW w:w="0" w:type="auto"/>
            <w:tcBorders>
              <w:top w:val="nil"/>
              <w:left w:val="nil"/>
              <w:bottom w:val="single" w:sz="8" w:space="0" w:color="6AA84F"/>
              <w:right w:val="single" w:sz="8" w:space="0" w:color="6AA84F"/>
            </w:tcBorders>
            <w:shd w:val="clear" w:color="auto" w:fill="D9EAD3"/>
            <w:hideMark/>
          </w:tcPr>
          <w:p w14:paraId="11E9240B" w14:textId="77777777" w:rsidR="00C00B1E" w:rsidRDefault="00C00B1E">
            <w:pPr>
              <w:spacing w:after="160"/>
              <w:cnfStyle w:val="000000100000" w:firstRow="0" w:lastRow="0" w:firstColumn="0" w:lastColumn="0" w:oddVBand="0" w:evenVBand="0" w:oddHBand="1" w:evenHBand="0" w:firstRowFirstColumn="0" w:firstRowLastColumn="0" w:lastRowFirstColumn="0" w:lastRowLastColumn="0"/>
            </w:pPr>
            <w:r>
              <w:rPr>
                <w:color w:val="000000"/>
              </w:rPr>
              <w:t>Require evidence of agreed appointments, improve vulnerability checks and document legal/safety considerations before enforcement or capping action.</w:t>
            </w:r>
          </w:p>
        </w:tc>
        <w:tc>
          <w:tcPr>
            <w:tcW w:w="0" w:type="auto"/>
            <w:tcBorders>
              <w:top w:val="nil"/>
              <w:left w:val="nil"/>
              <w:bottom w:val="single" w:sz="8" w:space="0" w:color="6AA84F"/>
              <w:right w:val="single" w:sz="8" w:space="0" w:color="6AA84F"/>
            </w:tcBorders>
            <w:shd w:val="clear" w:color="auto" w:fill="D9EAD3"/>
            <w:hideMark/>
          </w:tcPr>
          <w:p w14:paraId="3818665B" w14:textId="77777777" w:rsidR="00C00B1E" w:rsidRDefault="00C00B1E">
            <w:pPr>
              <w:spacing w:after="160"/>
              <w:cnfStyle w:val="000000100000" w:firstRow="0" w:lastRow="0" w:firstColumn="0" w:lastColumn="0" w:oddVBand="0" w:evenVBand="0" w:oddHBand="1" w:evenHBand="0" w:firstRowFirstColumn="0" w:firstRowLastColumn="0" w:lastRowFirstColumn="0" w:lastRowLastColumn="0"/>
            </w:pPr>
            <w:r>
              <w:rPr>
                <w:color w:val="000000"/>
              </w:rPr>
              <w:t>More proportionate action, better appointment reliability and improved compliance with reasonable adjustment and safeguarding expectations.</w:t>
            </w:r>
          </w:p>
        </w:tc>
      </w:tr>
      <w:tr w:rsidR="00C00B1E" w14:paraId="406853C9" w14:textId="77777777">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6AA84F"/>
              <w:bottom w:val="single" w:sz="8" w:space="0" w:color="6AA84F"/>
              <w:right w:val="single" w:sz="8" w:space="0" w:color="6AA84F"/>
            </w:tcBorders>
            <w:hideMark/>
          </w:tcPr>
          <w:p w14:paraId="07FA8A45" w14:textId="77777777" w:rsidR="00C00B1E" w:rsidRDefault="00C00B1E">
            <w:pPr>
              <w:spacing w:after="160"/>
            </w:pPr>
            <w:r>
              <w:lastRenderedPageBreak/>
              <w:t>Tenancy management and case progression</w:t>
            </w:r>
          </w:p>
        </w:tc>
        <w:tc>
          <w:tcPr>
            <w:tcW w:w="0" w:type="auto"/>
            <w:tcBorders>
              <w:top w:val="nil"/>
              <w:left w:val="nil"/>
              <w:bottom w:val="single" w:sz="8" w:space="0" w:color="6AA84F"/>
              <w:right w:val="single" w:sz="8" w:space="0" w:color="6AA84F"/>
            </w:tcBorders>
            <w:hideMark/>
          </w:tcPr>
          <w:p w14:paraId="319723B4" w14:textId="77777777" w:rsidR="00C00B1E" w:rsidRDefault="00C00B1E">
            <w:pPr>
              <w:spacing w:after="160"/>
              <w:cnfStyle w:val="000000000000" w:firstRow="0" w:lastRow="0" w:firstColumn="0" w:lastColumn="0" w:oddVBand="0" w:evenVBand="0" w:oddHBand="0" w:evenHBand="0" w:firstRowFirstColumn="0" w:firstRowLastColumn="0" w:lastRowFirstColumn="0" w:lastRowLastColumn="0"/>
            </w:pPr>
            <w:r>
              <w:t>Cases included ASB, neighbour disputes, service charge concerns, Right to Buy/leasehold issues, communal area conditions and case delays.</w:t>
            </w:r>
          </w:p>
        </w:tc>
        <w:tc>
          <w:tcPr>
            <w:tcW w:w="0" w:type="auto"/>
            <w:tcBorders>
              <w:top w:val="nil"/>
              <w:left w:val="nil"/>
              <w:bottom w:val="single" w:sz="8" w:space="0" w:color="6AA84F"/>
              <w:right w:val="single" w:sz="8" w:space="0" w:color="6AA84F"/>
            </w:tcBorders>
            <w:hideMark/>
          </w:tcPr>
          <w:p w14:paraId="0E41716F" w14:textId="77777777" w:rsidR="00C00B1E" w:rsidRDefault="00C00B1E">
            <w:pPr>
              <w:spacing w:after="160"/>
              <w:cnfStyle w:val="000000000000" w:firstRow="0" w:lastRow="0" w:firstColumn="0" w:lastColumn="0" w:oddVBand="0" w:evenVBand="0" w:oddHBand="0" w:evenHBand="0" w:firstRowFirstColumn="0" w:firstRowLastColumn="0" w:lastRowFirstColumn="0" w:lastRowLastColumn="0"/>
            </w:pPr>
            <w:r>
              <w:t>Residents reported feeling unsafe, unheard or unclear about what action was being taken and why.</w:t>
            </w:r>
          </w:p>
        </w:tc>
        <w:tc>
          <w:tcPr>
            <w:tcW w:w="0" w:type="auto"/>
            <w:tcBorders>
              <w:top w:val="nil"/>
              <w:left w:val="nil"/>
              <w:bottom w:val="single" w:sz="8" w:space="0" w:color="6AA84F"/>
              <w:right w:val="single" w:sz="8" w:space="0" w:color="6AA84F"/>
            </w:tcBorders>
            <w:hideMark/>
          </w:tcPr>
          <w:p w14:paraId="7FA955E9" w14:textId="77777777" w:rsidR="00C00B1E" w:rsidRDefault="00C00B1E">
            <w:pPr>
              <w:spacing w:after="160"/>
              <w:cnfStyle w:val="000000000000" w:firstRow="0" w:lastRow="0" w:firstColumn="0" w:lastColumn="0" w:oddVBand="0" w:evenVBand="0" w:oddHBand="0" w:evenHBand="0" w:firstRowFirstColumn="0" w:firstRowLastColumn="0" w:lastRowFirstColumn="0" w:lastRowLastColumn="0"/>
            </w:pPr>
            <w:r>
              <w:t>Clarify action plans, strengthen evidence gathering, record engagement opportunities and communicate the distinction between behavioural and structural issues.</w:t>
            </w:r>
          </w:p>
        </w:tc>
        <w:tc>
          <w:tcPr>
            <w:tcW w:w="0" w:type="auto"/>
            <w:tcBorders>
              <w:top w:val="nil"/>
              <w:left w:val="nil"/>
              <w:bottom w:val="single" w:sz="8" w:space="0" w:color="6AA84F"/>
              <w:right w:val="single" w:sz="8" w:space="0" w:color="6AA84F"/>
            </w:tcBorders>
            <w:hideMark/>
          </w:tcPr>
          <w:p w14:paraId="1E51BA64" w14:textId="77777777" w:rsidR="00C00B1E" w:rsidRDefault="00C00B1E">
            <w:pPr>
              <w:spacing w:after="160"/>
              <w:cnfStyle w:val="000000000000" w:firstRow="0" w:lastRow="0" w:firstColumn="0" w:lastColumn="0" w:oddVBand="0" w:evenVBand="0" w:oddHBand="0" w:evenHBand="0" w:firstRowFirstColumn="0" w:firstRowLastColumn="0" w:lastRowFirstColumn="0" w:lastRowLastColumn="0"/>
            </w:pPr>
            <w:r>
              <w:t>Improved resident confidence, clearer decision-making and reduced repeat contact on longstanding cases.</w:t>
            </w:r>
          </w:p>
        </w:tc>
      </w:tr>
      <w:tr w:rsidR="00C00B1E" w14:paraId="6A3F4AA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6AA84F"/>
              <w:bottom w:val="single" w:sz="8" w:space="0" w:color="6AA84F"/>
              <w:right w:val="single" w:sz="8" w:space="0" w:color="6AA84F"/>
            </w:tcBorders>
            <w:shd w:val="clear" w:color="auto" w:fill="D9EAD3"/>
            <w:hideMark/>
          </w:tcPr>
          <w:p w14:paraId="7D632E77" w14:textId="77777777" w:rsidR="00C00B1E" w:rsidRDefault="00C00B1E">
            <w:pPr>
              <w:spacing w:after="160"/>
            </w:pPr>
            <w:r>
              <w:rPr>
                <w:color w:val="000000"/>
              </w:rPr>
              <w:t>Vulnerability and reasonable adjustments</w:t>
            </w:r>
          </w:p>
        </w:tc>
        <w:tc>
          <w:tcPr>
            <w:tcW w:w="0" w:type="auto"/>
            <w:tcBorders>
              <w:top w:val="nil"/>
              <w:left w:val="nil"/>
              <w:bottom w:val="single" w:sz="8" w:space="0" w:color="6AA84F"/>
              <w:right w:val="single" w:sz="8" w:space="0" w:color="6AA84F"/>
            </w:tcBorders>
            <w:shd w:val="clear" w:color="auto" w:fill="D9EAD3"/>
            <w:hideMark/>
          </w:tcPr>
          <w:p w14:paraId="60FA9360" w14:textId="77777777" w:rsidR="00C00B1E" w:rsidRDefault="00C00B1E">
            <w:pPr>
              <w:spacing w:after="160"/>
              <w:cnfStyle w:val="000000100000" w:firstRow="0" w:lastRow="0" w:firstColumn="0" w:lastColumn="0" w:oddVBand="0" w:evenVBand="0" w:oddHBand="1" w:evenHBand="0" w:firstRowFirstColumn="0" w:firstRowLastColumn="0" w:lastRowFirstColumn="0" w:lastRowLastColumn="0"/>
            </w:pPr>
            <w:r>
              <w:rPr>
                <w:color w:val="000000"/>
              </w:rPr>
              <w:t>A significant number of complaints referenced disability, mental health, pregnancy, children, domestic abuse, medical need or requests for tailored communication and access arrangements.</w:t>
            </w:r>
          </w:p>
        </w:tc>
        <w:tc>
          <w:tcPr>
            <w:tcW w:w="0" w:type="auto"/>
            <w:tcBorders>
              <w:top w:val="nil"/>
              <w:left w:val="nil"/>
              <w:bottom w:val="single" w:sz="8" w:space="0" w:color="6AA84F"/>
              <w:right w:val="single" w:sz="8" w:space="0" w:color="6AA84F"/>
            </w:tcBorders>
            <w:shd w:val="clear" w:color="auto" w:fill="D9EAD3"/>
            <w:hideMark/>
          </w:tcPr>
          <w:p w14:paraId="07F4A55E" w14:textId="77777777" w:rsidR="00C00B1E" w:rsidRDefault="00C00B1E">
            <w:pPr>
              <w:spacing w:after="160"/>
              <w:cnfStyle w:val="000000100000" w:firstRow="0" w:lastRow="0" w:firstColumn="0" w:lastColumn="0" w:oddVBand="0" w:evenVBand="0" w:oddHBand="1" w:evenHBand="0" w:firstRowFirstColumn="0" w:firstRowLastColumn="0" w:lastRowFirstColumn="0" w:lastRowLastColumn="0"/>
            </w:pPr>
            <w:r>
              <w:rPr>
                <w:color w:val="000000"/>
              </w:rPr>
              <w:t>Failure to identify or respond to vulnerability early can increase distress, perceived unfairness, safeguarding risk and escalation.</w:t>
            </w:r>
          </w:p>
        </w:tc>
        <w:tc>
          <w:tcPr>
            <w:tcW w:w="0" w:type="auto"/>
            <w:tcBorders>
              <w:top w:val="nil"/>
              <w:left w:val="nil"/>
              <w:bottom w:val="single" w:sz="8" w:space="0" w:color="6AA84F"/>
              <w:right w:val="single" w:sz="8" w:space="0" w:color="6AA84F"/>
            </w:tcBorders>
            <w:shd w:val="clear" w:color="auto" w:fill="D9EAD3"/>
            <w:hideMark/>
          </w:tcPr>
          <w:p w14:paraId="4F78B24E" w14:textId="77777777" w:rsidR="00C00B1E" w:rsidRDefault="00C00B1E">
            <w:pPr>
              <w:spacing w:after="160"/>
              <w:cnfStyle w:val="000000100000" w:firstRow="0" w:lastRow="0" w:firstColumn="0" w:lastColumn="0" w:oddVBand="0" w:evenVBand="0" w:oddHBand="1" w:evenHBand="0" w:firstRowFirstColumn="0" w:firstRowLastColumn="0" w:lastRowFirstColumn="0" w:lastRowLastColumn="0"/>
            </w:pPr>
            <w:r>
              <w:rPr>
                <w:color w:val="000000"/>
              </w:rPr>
              <w:t>Embed vulnerability checks in complaint triage, repairs escalation, gas access, allocations correspondence and complaint quality assurance.</w:t>
            </w:r>
          </w:p>
        </w:tc>
        <w:tc>
          <w:tcPr>
            <w:tcW w:w="0" w:type="auto"/>
            <w:tcBorders>
              <w:top w:val="nil"/>
              <w:left w:val="nil"/>
              <w:bottom w:val="single" w:sz="8" w:space="0" w:color="6AA84F"/>
              <w:right w:val="single" w:sz="8" w:space="0" w:color="6AA84F"/>
            </w:tcBorders>
            <w:shd w:val="clear" w:color="auto" w:fill="D9EAD3"/>
            <w:hideMark/>
          </w:tcPr>
          <w:p w14:paraId="645D4C26" w14:textId="77777777" w:rsidR="00C00B1E" w:rsidRDefault="00C00B1E">
            <w:pPr>
              <w:spacing w:after="160"/>
              <w:cnfStyle w:val="000000100000" w:firstRow="0" w:lastRow="0" w:firstColumn="0" w:lastColumn="0" w:oddVBand="0" w:evenVBand="0" w:oddHBand="1" w:evenHBand="0" w:firstRowFirstColumn="0" w:firstRowLastColumn="0" w:lastRowFirstColumn="0" w:lastRowLastColumn="0"/>
            </w:pPr>
            <w:r>
              <w:rPr>
                <w:color w:val="000000"/>
              </w:rPr>
              <w:t>More resident-centred responses, clearer reasonable adjustments and improved compliance assurance.</w:t>
            </w:r>
          </w:p>
        </w:tc>
      </w:tr>
    </w:tbl>
    <w:p w14:paraId="7F13D6BE" w14:textId="77777777" w:rsidR="00F653D4" w:rsidRDefault="00F653D4">
      <w:pPr>
        <w:pStyle w:val="Heading1"/>
        <w:rPr>
          <w:rFonts w:cstheme="minorBidi"/>
          <w:lang w:eastAsia="en-GB"/>
        </w:rPr>
      </w:pPr>
      <w:r>
        <w:rPr>
          <w:rFonts w:cstheme="minorBidi"/>
        </w:rPr>
        <w:t>6. Compliments, Positive Feedback and Good Practice</w:t>
      </w:r>
    </w:p>
    <w:p w14:paraId="630EA102" w14:textId="77777777" w:rsidR="00F653D4" w:rsidRDefault="00F653D4">
      <w:pPr>
        <w:rPr>
          <w:lang w:eastAsia="en-GB"/>
        </w:rPr>
      </w:pPr>
      <w:r>
        <w:t>This section captures compliments and positive feedback received during the quarter, so that good practice is recognised and shared across housing services. It should be used alongside complaints data to provide a balanced view of tenant experience, identify what is working well and support wider learning through team briefings, service improvement meetings and “you said, we did” updates.</w:t>
      </w:r>
    </w:p>
    <w:tbl>
      <w:tblPr>
        <w:tblStyle w:val="GridTable4-Accent1"/>
        <w:tblW w:w="0" w:type="auto"/>
        <w:tblLook w:val="04A0" w:firstRow="1" w:lastRow="0" w:firstColumn="1" w:lastColumn="0" w:noHBand="0" w:noVBand="1"/>
      </w:tblPr>
      <w:tblGrid>
        <w:gridCol w:w="2226"/>
        <w:gridCol w:w="2355"/>
        <w:gridCol w:w="2438"/>
        <w:gridCol w:w="2095"/>
        <w:gridCol w:w="2530"/>
        <w:gridCol w:w="2294"/>
      </w:tblGrid>
      <w:tr w:rsidR="00E97649" w14:paraId="61AD2BE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006B3F"/>
              <w:left w:val="single" w:sz="8" w:space="0" w:color="006B3F"/>
              <w:bottom w:val="single" w:sz="8" w:space="0" w:color="006B3F"/>
            </w:tcBorders>
            <w:shd w:val="clear" w:color="auto" w:fill="006B3F"/>
            <w:hideMark/>
          </w:tcPr>
          <w:p w14:paraId="55C1CA03" w14:textId="77777777" w:rsidR="00E97649" w:rsidRDefault="00E97649">
            <w:pPr>
              <w:spacing w:after="160"/>
              <w:rPr>
                <w:lang w:eastAsia="en-GB"/>
              </w:rPr>
            </w:pPr>
            <w:r>
              <w:t>Compliment measure</w:t>
            </w:r>
          </w:p>
        </w:tc>
        <w:tc>
          <w:tcPr>
            <w:tcW w:w="0" w:type="auto"/>
            <w:tcBorders>
              <w:top w:val="single" w:sz="8" w:space="0" w:color="006B3F"/>
              <w:bottom w:val="single" w:sz="8" w:space="0" w:color="006B3F"/>
            </w:tcBorders>
            <w:shd w:val="clear" w:color="auto" w:fill="006B3F"/>
            <w:hideMark/>
          </w:tcPr>
          <w:p w14:paraId="066FBDB2" w14:textId="77777777" w:rsidR="00E97649" w:rsidRDefault="00E97649">
            <w:pPr>
              <w:spacing w:after="160"/>
              <w:cnfStyle w:val="100000000000" w:firstRow="1" w:lastRow="0" w:firstColumn="0" w:lastColumn="0" w:oddVBand="0" w:evenVBand="0" w:oddHBand="0" w:evenHBand="0" w:firstRowFirstColumn="0" w:firstRowLastColumn="0" w:lastRowFirstColumn="0" w:lastRowLastColumn="0"/>
            </w:pPr>
            <w:r>
              <w:t>Quarter result</w:t>
            </w:r>
          </w:p>
        </w:tc>
        <w:tc>
          <w:tcPr>
            <w:tcW w:w="0" w:type="auto"/>
            <w:tcBorders>
              <w:top w:val="single" w:sz="8" w:space="0" w:color="006B3F"/>
              <w:bottom w:val="single" w:sz="8" w:space="0" w:color="006B3F"/>
            </w:tcBorders>
            <w:shd w:val="clear" w:color="auto" w:fill="006B3F"/>
            <w:hideMark/>
          </w:tcPr>
          <w:p w14:paraId="07CCF8A9" w14:textId="77777777" w:rsidR="00E97649" w:rsidRDefault="00E97649">
            <w:pPr>
              <w:spacing w:after="160"/>
              <w:cnfStyle w:val="100000000000" w:firstRow="1" w:lastRow="0" w:firstColumn="0" w:lastColumn="0" w:oddVBand="0" w:evenVBand="0" w:oddHBand="0" w:evenHBand="0" w:firstRowFirstColumn="0" w:firstRowLastColumn="0" w:lastRowFirstColumn="0" w:lastRowLastColumn="0"/>
            </w:pPr>
            <w:r>
              <w:t>Previous year comparison</w:t>
            </w:r>
          </w:p>
        </w:tc>
        <w:tc>
          <w:tcPr>
            <w:tcW w:w="0" w:type="auto"/>
            <w:tcBorders>
              <w:top w:val="single" w:sz="8" w:space="0" w:color="006B3F"/>
              <w:bottom w:val="single" w:sz="8" w:space="0" w:color="006B3F"/>
            </w:tcBorders>
            <w:shd w:val="clear" w:color="auto" w:fill="006B3F"/>
            <w:hideMark/>
          </w:tcPr>
          <w:p w14:paraId="5D6C1833" w14:textId="77777777" w:rsidR="00E97649" w:rsidRDefault="00E97649">
            <w:pPr>
              <w:spacing w:after="160"/>
              <w:cnfStyle w:val="100000000000" w:firstRow="1" w:lastRow="0" w:firstColumn="0" w:lastColumn="0" w:oddVBand="0" w:evenVBand="0" w:oddHBand="0" w:evenHBand="0" w:firstRowFirstColumn="0" w:firstRowLastColumn="0" w:lastRowFirstColumn="0" w:lastRowLastColumn="0"/>
            </w:pPr>
            <w:r>
              <w:t>Service area / team</w:t>
            </w:r>
          </w:p>
        </w:tc>
        <w:tc>
          <w:tcPr>
            <w:tcW w:w="0" w:type="auto"/>
            <w:tcBorders>
              <w:top w:val="single" w:sz="8" w:space="0" w:color="006B3F"/>
              <w:bottom w:val="single" w:sz="8" w:space="0" w:color="006B3F"/>
            </w:tcBorders>
            <w:shd w:val="clear" w:color="auto" w:fill="006B3F"/>
            <w:hideMark/>
          </w:tcPr>
          <w:p w14:paraId="16E94E32" w14:textId="77777777" w:rsidR="00E97649" w:rsidRDefault="00E97649">
            <w:pPr>
              <w:spacing w:after="160"/>
              <w:cnfStyle w:val="100000000000" w:firstRow="1" w:lastRow="0" w:firstColumn="0" w:lastColumn="0" w:oddVBand="0" w:evenVBand="0" w:oddHBand="0" w:evenHBand="0" w:firstRowFirstColumn="0" w:firstRowLastColumn="0" w:lastRowFirstColumn="0" w:lastRowLastColumn="0"/>
            </w:pPr>
            <w:r>
              <w:t>Good practice identified</w:t>
            </w:r>
          </w:p>
        </w:tc>
        <w:tc>
          <w:tcPr>
            <w:tcW w:w="0" w:type="auto"/>
            <w:tcBorders>
              <w:top w:val="single" w:sz="8" w:space="0" w:color="006B3F"/>
              <w:bottom w:val="single" w:sz="8" w:space="0" w:color="006B3F"/>
              <w:right w:val="single" w:sz="8" w:space="0" w:color="006B3F"/>
            </w:tcBorders>
            <w:shd w:val="clear" w:color="auto" w:fill="006B3F"/>
            <w:hideMark/>
          </w:tcPr>
          <w:p w14:paraId="0F699CB3" w14:textId="77777777" w:rsidR="00E97649" w:rsidRDefault="00E97649">
            <w:pPr>
              <w:spacing w:after="160"/>
              <w:cnfStyle w:val="100000000000" w:firstRow="1" w:lastRow="0" w:firstColumn="0" w:lastColumn="0" w:oddVBand="0" w:evenVBand="0" w:oddHBand="0" w:evenHBand="0" w:firstRowFirstColumn="0" w:firstRowLastColumn="0" w:lastRowFirstColumn="0" w:lastRowLastColumn="0"/>
            </w:pPr>
            <w:r>
              <w:t>Learning to share</w:t>
            </w:r>
          </w:p>
        </w:tc>
      </w:tr>
      <w:tr w:rsidR="00E97649" w14:paraId="6BDD6F7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6AA84F"/>
              <w:bottom w:val="single" w:sz="8" w:space="0" w:color="6AA84F"/>
              <w:right w:val="single" w:sz="8" w:space="0" w:color="6AA84F"/>
            </w:tcBorders>
            <w:shd w:val="clear" w:color="auto" w:fill="D9EAD3"/>
            <w:hideMark/>
          </w:tcPr>
          <w:p w14:paraId="4B7A5BEA" w14:textId="77777777" w:rsidR="00E97649" w:rsidRDefault="00E97649">
            <w:pPr>
              <w:spacing w:after="160"/>
            </w:pPr>
            <w:r>
              <w:rPr>
                <w:color w:val="000000"/>
              </w:rPr>
              <w:t>Total compliments received</w:t>
            </w:r>
          </w:p>
        </w:tc>
        <w:tc>
          <w:tcPr>
            <w:tcW w:w="0" w:type="auto"/>
            <w:tcBorders>
              <w:top w:val="nil"/>
              <w:left w:val="nil"/>
              <w:bottom w:val="single" w:sz="8" w:space="0" w:color="6AA84F"/>
              <w:right w:val="single" w:sz="8" w:space="0" w:color="6AA84F"/>
            </w:tcBorders>
            <w:shd w:val="clear" w:color="auto" w:fill="D9EAD3"/>
            <w:hideMark/>
          </w:tcPr>
          <w:p w14:paraId="30250AC8" w14:textId="77777777" w:rsidR="00E97649" w:rsidRDefault="00E97649">
            <w:pPr>
              <w:spacing w:after="160"/>
              <w:cnfStyle w:val="000000100000" w:firstRow="0" w:lastRow="0" w:firstColumn="0" w:lastColumn="0" w:oddVBand="0" w:evenVBand="0" w:oddHBand="1" w:evenHBand="0" w:firstRowFirstColumn="0" w:firstRowLastColumn="0" w:lastRowFirstColumn="0" w:lastRowLastColumn="0"/>
            </w:pPr>
            <w:r>
              <w:rPr>
                <w:color w:val="000000"/>
              </w:rPr>
              <w:t xml:space="preserve">139 compliments recorded across April to June 2026: 24 in April, 65 in </w:t>
            </w:r>
            <w:r>
              <w:rPr>
                <w:color w:val="000000"/>
              </w:rPr>
              <w:lastRenderedPageBreak/>
              <w:t>May and 50 in June.</w:t>
            </w:r>
          </w:p>
        </w:tc>
        <w:tc>
          <w:tcPr>
            <w:tcW w:w="0" w:type="auto"/>
            <w:tcBorders>
              <w:top w:val="nil"/>
              <w:left w:val="nil"/>
              <w:bottom w:val="single" w:sz="8" w:space="0" w:color="6AA84F"/>
              <w:right w:val="single" w:sz="8" w:space="0" w:color="6AA84F"/>
            </w:tcBorders>
            <w:shd w:val="clear" w:color="auto" w:fill="D9EAD3"/>
            <w:hideMark/>
          </w:tcPr>
          <w:p w14:paraId="181B6E47" w14:textId="77777777" w:rsidR="00E97649" w:rsidRDefault="00E97649">
            <w:pPr>
              <w:spacing w:after="160"/>
              <w:cnfStyle w:val="000000100000" w:firstRow="0" w:lastRow="0" w:firstColumn="0" w:lastColumn="0" w:oddVBand="0" w:evenVBand="0" w:oddHBand="1" w:evenHBand="0" w:firstRowFirstColumn="0" w:firstRowLastColumn="0" w:lastRowFirstColumn="0" w:lastRowLastColumn="0"/>
            </w:pPr>
            <w:r>
              <w:rPr>
                <w:color w:val="000000"/>
              </w:rPr>
              <w:lastRenderedPageBreak/>
              <w:t xml:space="preserve">April to June 2025 recorded 85 compliments: 39 in April, 43 in May and </w:t>
            </w:r>
            <w:r>
              <w:rPr>
                <w:color w:val="000000"/>
              </w:rPr>
              <w:lastRenderedPageBreak/>
              <w:t>3 in June. This represents an increase of 54 compliments year on year.</w:t>
            </w:r>
          </w:p>
        </w:tc>
        <w:tc>
          <w:tcPr>
            <w:tcW w:w="0" w:type="auto"/>
            <w:tcBorders>
              <w:top w:val="nil"/>
              <w:left w:val="nil"/>
              <w:bottom w:val="single" w:sz="8" w:space="0" w:color="6AA84F"/>
              <w:right w:val="single" w:sz="8" w:space="0" w:color="6AA84F"/>
            </w:tcBorders>
            <w:shd w:val="clear" w:color="auto" w:fill="D9EAD3"/>
            <w:hideMark/>
          </w:tcPr>
          <w:p w14:paraId="6F62688A" w14:textId="77777777" w:rsidR="00E97649" w:rsidRDefault="00E97649">
            <w:pPr>
              <w:spacing w:after="160"/>
              <w:cnfStyle w:val="000000100000" w:firstRow="0" w:lastRow="0" w:firstColumn="0" w:lastColumn="0" w:oddVBand="0" w:evenVBand="0" w:oddHBand="1" w:evenHBand="0" w:firstRowFirstColumn="0" w:firstRowLastColumn="0" w:lastRowFirstColumn="0" w:lastRowLastColumn="0"/>
            </w:pPr>
            <w:r>
              <w:rPr>
                <w:color w:val="000000"/>
              </w:rPr>
              <w:lastRenderedPageBreak/>
              <w:t xml:space="preserve">Predominantly Housing - DSO Building Management, </w:t>
            </w:r>
            <w:r>
              <w:rPr>
                <w:color w:val="000000"/>
              </w:rPr>
              <w:lastRenderedPageBreak/>
              <w:t>with one compliment recorded for Housing - Tenancy Management in 2026.</w:t>
            </w:r>
          </w:p>
        </w:tc>
        <w:tc>
          <w:tcPr>
            <w:tcW w:w="0" w:type="auto"/>
            <w:tcBorders>
              <w:top w:val="nil"/>
              <w:left w:val="nil"/>
              <w:bottom w:val="single" w:sz="8" w:space="0" w:color="6AA84F"/>
              <w:right w:val="single" w:sz="8" w:space="0" w:color="6AA84F"/>
            </w:tcBorders>
            <w:shd w:val="clear" w:color="auto" w:fill="D9EAD3"/>
            <w:hideMark/>
          </w:tcPr>
          <w:p w14:paraId="2D5172AA" w14:textId="77777777" w:rsidR="00E97649" w:rsidRDefault="00E97649">
            <w:pPr>
              <w:spacing w:after="160"/>
              <w:cnfStyle w:val="000000100000" w:firstRow="0" w:lastRow="0" w:firstColumn="0" w:lastColumn="0" w:oddVBand="0" w:evenVBand="0" w:oddHBand="1" w:evenHBand="0" w:firstRowFirstColumn="0" w:firstRowLastColumn="0" w:lastRowFirstColumn="0" w:lastRowLastColumn="0"/>
            </w:pPr>
            <w:r>
              <w:rPr>
                <w:color w:val="000000"/>
              </w:rPr>
              <w:lastRenderedPageBreak/>
              <w:t xml:space="preserve">Residents consistently praised polite, respectful and professional staff, </w:t>
            </w:r>
            <w:r>
              <w:rPr>
                <w:color w:val="000000"/>
              </w:rPr>
              <w:lastRenderedPageBreak/>
              <w:t>high workmanship standards, clear explanations, tidy working, prompt attendance and staff going above and beyond.</w:t>
            </w:r>
          </w:p>
        </w:tc>
        <w:tc>
          <w:tcPr>
            <w:tcW w:w="0" w:type="auto"/>
            <w:tcBorders>
              <w:top w:val="nil"/>
              <w:left w:val="nil"/>
              <w:bottom w:val="single" w:sz="8" w:space="0" w:color="6AA84F"/>
              <w:right w:val="single" w:sz="8" w:space="0" w:color="6AA84F"/>
            </w:tcBorders>
            <w:shd w:val="clear" w:color="auto" w:fill="D9EAD3"/>
            <w:hideMark/>
          </w:tcPr>
          <w:p w14:paraId="28A8B967" w14:textId="77777777" w:rsidR="00E97649" w:rsidRDefault="00E97649">
            <w:pPr>
              <w:spacing w:after="160"/>
              <w:cnfStyle w:val="000000100000" w:firstRow="0" w:lastRow="0" w:firstColumn="0" w:lastColumn="0" w:oddVBand="0" w:evenVBand="0" w:oddHBand="1" w:evenHBand="0" w:firstRowFirstColumn="0" w:firstRowLastColumn="0" w:lastRowFirstColumn="0" w:lastRowLastColumn="0"/>
            </w:pPr>
            <w:r>
              <w:rPr>
                <w:color w:val="000000"/>
              </w:rPr>
              <w:lastRenderedPageBreak/>
              <w:t xml:space="preserve">Share positive feedback through team briefings and contractor </w:t>
            </w:r>
            <w:r>
              <w:rPr>
                <w:color w:val="000000"/>
              </w:rPr>
              <w:lastRenderedPageBreak/>
              <w:t>meetings so the behaviours residents value most are reinforced as service standards.</w:t>
            </w:r>
          </w:p>
        </w:tc>
      </w:tr>
      <w:tr w:rsidR="00E97649" w14:paraId="456817E0" w14:textId="77777777">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6AA84F"/>
              <w:bottom w:val="single" w:sz="8" w:space="0" w:color="6AA84F"/>
              <w:right w:val="single" w:sz="8" w:space="0" w:color="6AA84F"/>
            </w:tcBorders>
            <w:hideMark/>
          </w:tcPr>
          <w:p w14:paraId="290B3521" w14:textId="77777777" w:rsidR="00E97649" w:rsidRDefault="00E97649">
            <w:pPr>
              <w:spacing w:after="160"/>
            </w:pPr>
            <w:r>
              <w:lastRenderedPageBreak/>
              <w:t>Compliments linked to repairs, damp and mould or property condition</w:t>
            </w:r>
          </w:p>
        </w:tc>
        <w:tc>
          <w:tcPr>
            <w:tcW w:w="0" w:type="auto"/>
            <w:tcBorders>
              <w:top w:val="nil"/>
              <w:left w:val="nil"/>
              <w:bottom w:val="single" w:sz="8" w:space="0" w:color="6AA84F"/>
              <w:right w:val="single" w:sz="8" w:space="0" w:color="6AA84F"/>
            </w:tcBorders>
            <w:hideMark/>
          </w:tcPr>
          <w:p w14:paraId="2E01EC4F" w14:textId="77777777" w:rsidR="00E97649" w:rsidRDefault="00E97649">
            <w:pPr>
              <w:spacing w:after="160"/>
              <w:cnfStyle w:val="000000000000" w:firstRow="0" w:lastRow="0" w:firstColumn="0" w:lastColumn="0" w:oddVBand="0" w:evenVBand="0" w:oddHBand="0" w:evenHBand="0" w:firstRowFirstColumn="0" w:firstRowLastColumn="0" w:lastRowFirstColumn="0" w:lastRowLastColumn="0"/>
            </w:pPr>
            <w:r>
              <w:t>138 compliments were linked to Housing - DSO Building Management.</w:t>
            </w:r>
          </w:p>
        </w:tc>
        <w:tc>
          <w:tcPr>
            <w:tcW w:w="0" w:type="auto"/>
            <w:tcBorders>
              <w:top w:val="nil"/>
              <w:left w:val="nil"/>
              <w:bottom w:val="single" w:sz="8" w:space="0" w:color="6AA84F"/>
              <w:right w:val="single" w:sz="8" w:space="0" w:color="6AA84F"/>
            </w:tcBorders>
            <w:hideMark/>
          </w:tcPr>
          <w:p w14:paraId="1AD36AD1" w14:textId="77777777" w:rsidR="00E97649" w:rsidRDefault="00E97649">
            <w:pPr>
              <w:spacing w:after="160"/>
              <w:cnfStyle w:val="000000000000" w:firstRow="0" w:lastRow="0" w:firstColumn="0" w:lastColumn="0" w:oddVBand="0" w:evenVBand="0" w:oddHBand="0" w:evenHBand="0" w:firstRowFirstColumn="0" w:firstRowLastColumn="0" w:lastRowFirstColumn="0" w:lastRowLastColumn="0"/>
            </w:pPr>
            <w:r>
              <w:t>April to June 2025 recorded 77 DSO Building Management compliments, showing an increase of 61 DSO compliments year on year.</w:t>
            </w:r>
          </w:p>
        </w:tc>
        <w:tc>
          <w:tcPr>
            <w:tcW w:w="0" w:type="auto"/>
            <w:tcBorders>
              <w:top w:val="nil"/>
              <w:left w:val="nil"/>
              <w:bottom w:val="single" w:sz="8" w:space="0" w:color="6AA84F"/>
              <w:right w:val="single" w:sz="8" w:space="0" w:color="6AA84F"/>
            </w:tcBorders>
            <w:hideMark/>
          </w:tcPr>
          <w:p w14:paraId="3BB59EC8" w14:textId="77777777" w:rsidR="00E97649" w:rsidRDefault="00E97649">
            <w:pPr>
              <w:spacing w:after="160"/>
              <w:cnfStyle w:val="000000000000" w:firstRow="0" w:lastRow="0" w:firstColumn="0" w:lastColumn="0" w:oddVBand="0" w:evenVBand="0" w:oddHBand="0" w:evenHBand="0" w:firstRowFirstColumn="0" w:firstRowLastColumn="0" w:lastRowFirstColumn="0" w:lastRowLastColumn="0"/>
            </w:pPr>
            <w:r>
              <w:t>Repairs operatives, engineers, decorators, roofers, electricians, plumbers, damp and mould surveyors, pest control, kitchen fitters, gas/heating and wider DSO staff.</w:t>
            </w:r>
          </w:p>
        </w:tc>
        <w:tc>
          <w:tcPr>
            <w:tcW w:w="0" w:type="auto"/>
            <w:tcBorders>
              <w:top w:val="nil"/>
              <w:left w:val="nil"/>
              <w:bottom w:val="single" w:sz="8" w:space="0" w:color="6AA84F"/>
              <w:right w:val="single" w:sz="8" w:space="0" w:color="6AA84F"/>
            </w:tcBorders>
            <w:hideMark/>
          </w:tcPr>
          <w:p w14:paraId="419923BE" w14:textId="77777777" w:rsidR="00E97649" w:rsidRDefault="00E97649">
            <w:pPr>
              <w:spacing w:after="160"/>
              <w:cnfStyle w:val="000000000000" w:firstRow="0" w:lastRow="0" w:firstColumn="0" w:lastColumn="0" w:oddVBand="0" w:evenVBand="0" w:oddHBand="0" w:evenHBand="0" w:firstRowFirstColumn="0" w:firstRowLastColumn="0" w:lastRowFirstColumn="0" w:lastRowLastColumn="0"/>
            </w:pPr>
            <w:r>
              <w:t>Positive feedback repeatedly referenced excellent workmanship, repairs completed quickly, staff explaining what they were doing, respect for homes, clean and tidy work areas and helpful advice on issues such as mould prevention and safety.</w:t>
            </w:r>
          </w:p>
        </w:tc>
        <w:tc>
          <w:tcPr>
            <w:tcW w:w="0" w:type="auto"/>
            <w:tcBorders>
              <w:top w:val="nil"/>
              <w:left w:val="nil"/>
              <w:bottom w:val="single" w:sz="8" w:space="0" w:color="6AA84F"/>
              <w:right w:val="single" w:sz="8" w:space="0" w:color="6AA84F"/>
            </w:tcBorders>
            <w:hideMark/>
          </w:tcPr>
          <w:p w14:paraId="2AFCF5A2" w14:textId="77777777" w:rsidR="00E97649" w:rsidRDefault="00E97649">
            <w:pPr>
              <w:spacing w:after="160"/>
              <w:cnfStyle w:val="000000000000" w:firstRow="0" w:lastRow="0" w:firstColumn="0" w:lastColumn="0" w:oddVBand="0" w:evenVBand="0" w:oddHBand="0" w:evenHBand="0" w:firstRowFirstColumn="0" w:firstRowLastColumn="0" w:lastRowFirstColumn="0" w:lastRowLastColumn="0"/>
            </w:pPr>
            <w:r>
              <w:t>Use the feedback to reinforce expectations around communication, tidiness, respectful conduct, technical confidence and completing small additional tasks where appropriate.</w:t>
            </w:r>
          </w:p>
        </w:tc>
      </w:tr>
      <w:tr w:rsidR="00E97649" w14:paraId="765DF2D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6AA84F"/>
              <w:bottom w:val="single" w:sz="8" w:space="0" w:color="6AA84F"/>
              <w:right w:val="single" w:sz="8" w:space="0" w:color="6AA84F"/>
            </w:tcBorders>
            <w:shd w:val="clear" w:color="auto" w:fill="D9EAD3"/>
            <w:hideMark/>
          </w:tcPr>
          <w:p w14:paraId="4568C5EA" w14:textId="77777777" w:rsidR="00E97649" w:rsidRDefault="00E97649">
            <w:pPr>
              <w:spacing w:after="160"/>
            </w:pPr>
            <w:r>
              <w:rPr>
                <w:color w:val="000000"/>
              </w:rPr>
              <w:t>Compliments linked to tenancy, neighbourhood, allocations, income or sheltered services</w:t>
            </w:r>
          </w:p>
        </w:tc>
        <w:tc>
          <w:tcPr>
            <w:tcW w:w="0" w:type="auto"/>
            <w:tcBorders>
              <w:top w:val="nil"/>
              <w:left w:val="nil"/>
              <w:bottom w:val="single" w:sz="8" w:space="0" w:color="6AA84F"/>
              <w:right w:val="single" w:sz="8" w:space="0" w:color="6AA84F"/>
            </w:tcBorders>
            <w:shd w:val="clear" w:color="auto" w:fill="D9EAD3"/>
            <w:hideMark/>
          </w:tcPr>
          <w:p w14:paraId="5F7D7E2B" w14:textId="77777777" w:rsidR="00E97649" w:rsidRDefault="00E97649">
            <w:pPr>
              <w:spacing w:after="160"/>
              <w:cnfStyle w:val="000000100000" w:firstRow="0" w:lastRow="0" w:firstColumn="0" w:lastColumn="0" w:oddVBand="0" w:evenVBand="0" w:oddHBand="1" w:evenHBand="0" w:firstRowFirstColumn="0" w:firstRowLastColumn="0" w:lastRowFirstColumn="0" w:lastRowLastColumn="0"/>
            </w:pPr>
            <w:r>
              <w:rPr>
                <w:color w:val="000000"/>
              </w:rPr>
              <w:t>1 compliment was linked to Housing - Tenancy Management in the current quarter.</w:t>
            </w:r>
          </w:p>
        </w:tc>
        <w:tc>
          <w:tcPr>
            <w:tcW w:w="0" w:type="auto"/>
            <w:tcBorders>
              <w:top w:val="nil"/>
              <w:left w:val="nil"/>
              <w:bottom w:val="single" w:sz="8" w:space="0" w:color="6AA84F"/>
              <w:right w:val="single" w:sz="8" w:space="0" w:color="6AA84F"/>
            </w:tcBorders>
            <w:shd w:val="clear" w:color="auto" w:fill="D9EAD3"/>
            <w:hideMark/>
          </w:tcPr>
          <w:p w14:paraId="6C5E217E" w14:textId="77777777" w:rsidR="00E97649" w:rsidRDefault="00E97649">
            <w:pPr>
              <w:spacing w:after="160"/>
              <w:cnfStyle w:val="000000100000" w:firstRow="0" w:lastRow="0" w:firstColumn="0" w:lastColumn="0" w:oddVBand="0" w:evenVBand="0" w:oddHBand="1" w:evenHBand="0" w:firstRowFirstColumn="0" w:firstRowLastColumn="0" w:lastRowFirstColumn="0" w:lastRowLastColumn="0"/>
            </w:pPr>
            <w:r>
              <w:rPr>
                <w:color w:val="000000"/>
              </w:rPr>
              <w:t xml:space="preserve">April to June 2025 included compliments across Tenancy Management, Allocations, Income, Sheltered Housing and a joint Tenancy Management / Parks and Open Spaces </w:t>
            </w:r>
            <w:r>
              <w:rPr>
                <w:color w:val="000000"/>
              </w:rPr>
              <w:lastRenderedPageBreak/>
              <w:t>entry, reflecting a wider spread of non-repairs feedback.</w:t>
            </w:r>
          </w:p>
        </w:tc>
        <w:tc>
          <w:tcPr>
            <w:tcW w:w="0" w:type="auto"/>
            <w:tcBorders>
              <w:top w:val="nil"/>
              <w:left w:val="nil"/>
              <w:bottom w:val="single" w:sz="8" w:space="0" w:color="6AA84F"/>
              <w:right w:val="single" w:sz="8" w:space="0" w:color="6AA84F"/>
            </w:tcBorders>
            <w:shd w:val="clear" w:color="auto" w:fill="D9EAD3"/>
            <w:hideMark/>
          </w:tcPr>
          <w:p w14:paraId="7237D1DC" w14:textId="77777777" w:rsidR="00E97649" w:rsidRDefault="00E97649">
            <w:pPr>
              <w:spacing w:after="160"/>
              <w:cnfStyle w:val="000000100000" w:firstRow="0" w:lastRow="0" w:firstColumn="0" w:lastColumn="0" w:oddVBand="0" w:evenVBand="0" w:oddHBand="1" w:evenHBand="0" w:firstRowFirstColumn="0" w:firstRowLastColumn="0" w:lastRowFirstColumn="0" w:lastRowLastColumn="0"/>
            </w:pPr>
            <w:r>
              <w:rPr>
                <w:color w:val="000000"/>
              </w:rPr>
              <w:lastRenderedPageBreak/>
              <w:t>Tenancy Management, Allocations, Income and Sheltered Housing.</w:t>
            </w:r>
          </w:p>
        </w:tc>
        <w:tc>
          <w:tcPr>
            <w:tcW w:w="0" w:type="auto"/>
            <w:tcBorders>
              <w:top w:val="nil"/>
              <w:left w:val="nil"/>
              <w:bottom w:val="single" w:sz="8" w:space="0" w:color="6AA84F"/>
              <w:right w:val="single" w:sz="8" w:space="0" w:color="6AA84F"/>
            </w:tcBorders>
            <w:shd w:val="clear" w:color="auto" w:fill="D9EAD3"/>
            <w:hideMark/>
          </w:tcPr>
          <w:p w14:paraId="627AE51F" w14:textId="77777777" w:rsidR="00E97649" w:rsidRDefault="00E97649">
            <w:pPr>
              <w:spacing w:after="160"/>
              <w:cnfStyle w:val="000000100000" w:firstRow="0" w:lastRow="0" w:firstColumn="0" w:lastColumn="0" w:oddVBand="0" w:evenVBand="0" w:oddHBand="1" w:evenHBand="0" w:firstRowFirstColumn="0" w:firstRowLastColumn="0" w:lastRowFirstColumn="0" w:lastRowLastColumn="0"/>
            </w:pPr>
            <w:r>
              <w:rPr>
                <w:color w:val="000000"/>
              </w:rPr>
              <w:t xml:space="preserve">Positive feedback recognised support with rehousing, tenant celebration activity, housing application support, rent and council tax help, sheltered housing support and environmental </w:t>
            </w:r>
            <w:r>
              <w:rPr>
                <w:color w:val="000000"/>
              </w:rPr>
              <w:lastRenderedPageBreak/>
              <w:t>improvements to communal areas.</w:t>
            </w:r>
          </w:p>
        </w:tc>
        <w:tc>
          <w:tcPr>
            <w:tcW w:w="0" w:type="auto"/>
            <w:tcBorders>
              <w:top w:val="nil"/>
              <w:left w:val="nil"/>
              <w:bottom w:val="single" w:sz="8" w:space="0" w:color="6AA84F"/>
              <w:right w:val="single" w:sz="8" w:space="0" w:color="6AA84F"/>
            </w:tcBorders>
            <w:shd w:val="clear" w:color="auto" w:fill="D9EAD3"/>
            <w:hideMark/>
          </w:tcPr>
          <w:p w14:paraId="1FB4CE60" w14:textId="77777777" w:rsidR="00E97649" w:rsidRDefault="00E97649">
            <w:pPr>
              <w:spacing w:after="160"/>
              <w:cnfStyle w:val="000000100000" w:firstRow="0" w:lastRow="0" w:firstColumn="0" w:lastColumn="0" w:oddVBand="0" w:evenVBand="0" w:oddHBand="1" w:evenHBand="0" w:firstRowFirstColumn="0" w:firstRowLastColumn="0" w:lastRowFirstColumn="0" w:lastRowLastColumn="0"/>
            </w:pPr>
            <w:r>
              <w:rPr>
                <w:color w:val="000000"/>
              </w:rPr>
              <w:lastRenderedPageBreak/>
              <w:t xml:space="preserve">Encourage all housing teams to record compliments consistently so good practice is visible beyond repairs and can be </w:t>
            </w:r>
            <w:r>
              <w:rPr>
                <w:color w:val="000000"/>
              </w:rPr>
              <w:lastRenderedPageBreak/>
              <w:t>shared across the whole service.</w:t>
            </w:r>
          </w:p>
        </w:tc>
      </w:tr>
      <w:tr w:rsidR="00E97649" w14:paraId="6D4E5E01" w14:textId="77777777">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6AA84F"/>
              <w:bottom w:val="single" w:sz="8" w:space="0" w:color="6AA84F"/>
              <w:right w:val="single" w:sz="8" w:space="0" w:color="6AA84F"/>
            </w:tcBorders>
            <w:hideMark/>
          </w:tcPr>
          <w:p w14:paraId="0D3B1F1F" w14:textId="77777777" w:rsidR="00E97649" w:rsidRDefault="00E97649">
            <w:pPr>
              <w:spacing w:after="160"/>
            </w:pPr>
            <w:r>
              <w:lastRenderedPageBreak/>
              <w:t>Compliments linked to vulnerability, support or reasonable adjustments</w:t>
            </w:r>
          </w:p>
        </w:tc>
        <w:tc>
          <w:tcPr>
            <w:tcW w:w="0" w:type="auto"/>
            <w:tcBorders>
              <w:top w:val="nil"/>
              <w:left w:val="nil"/>
              <w:bottom w:val="single" w:sz="8" w:space="0" w:color="6AA84F"/>
              <w:right w:val="single" w:sz="8" w:space="0" w:color="6AA84F"/>
            </w:tcBorders>
            <w:hideMark/>
          </w:tcPr>
          <w:p w14:paraId="30258E1A" w14:textId="77777777" w:rsidR="00E97649" w:rsidRDefault="00E97649">
            <w:pPr>
              <w:spacing w:after="160"/>
              <w:cnfStyle w:val="000000000000" w:firstRow="0" w:lastRow="0" w:firstColumn="0" w:lastColumn="0" w:oddVBand="0" w:evenVBand="0" w:oddHBand="0" w:evenHBand="0" w:firstRowFirstColumn="0" w:firstRowLastColumn="0" w:lastRowFirstColumn="0" w:lastRowLastColumn="0"/>
            </w:pPr>
            <w:r>
              <w:t>Several compliments referenced sensitivity to residents’ personal circumstances, including disability needs, health, surgery recovery, older residents, a bedbound resident and residents needing reassurance during works.</w:t>
            </w:r>
          </w:p>
        </w:tc>
        <w:tc>
          <w:tcPr>
            <w:tcW w:w="0" w:type="auto"/>
            <w:tcBorders>
              <w:top w:val="nil"/>
              <w:left w:val="nil"/>
              <w:bottom w:val="single" w:sz="8" w:space="0" w:color="6AA84F"/>
              <w:right w:val="single" w:sz="8" w:space="0" w:color="6AA84F"/>
            </w:tcBorders>
            <w:hideMark/>
          </w:tcPr>
          <w:p w14:paraId="2BC94ADF" w14:textId="77777777" w:rsidR="00E97649" w:rsidRDefault="00E97649">
            <w:pPr>
              <w:spacing w:after="160"/>
              <w:cnfStyle w:val="000000000000" w:firstRow="0" w:lastRow="0" w:firstColumn="0" w:lastColumn="0" w:oddVBand="0" w:evenVBand="0" w:oddHBand="0" w:evenHBand="0" w:firstRowFirstColumn="0" w:firstRowLastColumn="0" w:lastRowFirstColumn="0" w:lastRowLastColumn="0"/>
            </w:pPr>
            <w:r>
              <w:t>April to June 2025 also included examples of staff being helpful, reassuring, professional and responsive, including feedback about moving, housing applications, tenant events and staff taking care in residents’ homes.</w:t>
            </w:r>
          </w:p>
        </w:tc>
        <w:tc>
          <w:tcPr>
            <w:tcW w:w="0" w:type="auto"/>
            <w:tcBorders>
              <w:top w:val="nil"/>
              <w:left w:val="nil"/>
              <w:bottom w:val="single" w:sz="8" w:space="0" w:color="6AA84F"/>
              <w:right w:val="single" w:sz="8" w:space="0" w:color="6AA84F"/>
            </w:tcBorders>
            <w:hideMark/>
          </w:tcPr>
          <w:p w14:paraId="644A152A" w14:textId="77777777" w:rsidR="00E97649" w:rsidRDefault="00E97649">
            <w:pPr>
              <w:spacing w:after="160"/>
              <w:cnfStyle w:val="000000000000" w:firstRow="0" w:lastRow="0" w:firstColumn="0" w:lastColumn="0" w:oddVBand="0" w:evenVBand="0" w:oddHBand="0" w:evenHBand="0" w:firstRowFirstColumn="0" w:firstRowLastColumn="0" w:lastRowFirstColumn="0" w:lastRowLastColumn="0"/>
            </w:pPr>
            <w:r>
              <w:t>DSO Building Management, Tenancy Management, Allocations, Income and Sheltered Housing.</w:t>
            </w:r>
          </w:p>
        </w:tc>
        <w:tc>
          <w:tcPr>
            <w:tcW w:w="0" w:type="auto"/>
            <w:tcBorders>
              <w:top w:val="nil"/>
              <w:left w:val="nil"/>
              <w:bottom w:val="single" w:sz="8" w:space="0" w:color="6AA84F"/>
              <w:right w:val="single" w:sz="8" w:space="0" w:color="6AA84F"/>
            </w:tcBorders>
            <w:hideMark/>
          </w:tcPr>
          <w:p w14:paraId="091AE964" w14:textId="77777777" w:rsidR="00E97649" w:rsidRDefault="00E97649">
            <w:pPr>
              <w:spacing w:after="160"/>
              <w:cnfStyle w:val="000000000000" w:firstRow="0" w:lastRow="0" w:firstColumn="0" w:lastColumn="0" w:oddVBand="0" w:evenVBand="0" w:oddHBand="0" w:evenHBand="0" w:firstRowFirstColumn="0" w:firstRowLastColumn="0" w:lastRowFirstColumn="0" w:lastRowLastColumn="0"/>
            </w:pPr>
            <w:r>
              <w:t>Examples included workers taking disability needs into account during bathroom works, arranging a generator so a bedbound resident’s compression mattress remained powered during electrical works, stepping in to help with hotel and cleaning arrangements after surgery, and staff making residents feel at ease.</w:t>
            </w:r>
          </w:p>
        </w:tc>
        <w:tc>
          <w:tcPr>
            <w:tcW w:w="0" w:type="auto"/>
            <w:tcBorders>
              <w:top w:val="nil"/>
              <w:left w:val="nil"/>
              <w:bottom w:val="single" w:sz="8" w:space="0" w:color="6AA84F"/>
              <w:right w:val="single" w:sz="8" w:space="0" w:color="6AA84F"/>
            </w:tcBorders>
            <w:hideMark/>
          </w:tcPr>
          <w:p w14:paraId="687861D7" w14:textId="77777777" w:rsidR="00E97649" w:rsidRDefault="00E97649">
            <w:pPr>
              <w:spacing w:after="160"/>
              <w:cnfStyle w:val="000000000000" w:firstRow="0" w:lastRow="0" w:firstColumn="0" w:lastColumn="0" w:oddVBand="0" w:evenVBand="0" w:oddHBand="0" w:evenHBand="0" w:firstRowFirstColumn="0" w:firstRowLastColumn="0" w:lastRowFirstColumn="0" w:lastRowLastColumn="0"/>
            </w:pPr>
            <w:r>
              <w:t>Embed this as good practice for vulnerability-aware service delivery: check household circumstances, explain works clearly, plan around essential equipment and treat residents with dignity.</w:t>
            </w:r>
          </w:p>
        </w:tc>
      </w:tr>
      <w:tr w:rsidR="00E97649" w14:paraId="750F351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6AA84F"/>
              <w:bottom w:val="single" w:sz="8" w:space="0" w:color="6AA84F"/>
              <w:right w:val="single" w:sz="8" w:space="0" w:color="6AA84F"/>
            </w:tcBorders>
            <w:shd w:val="clear" w:color="auto" w:fill="D9EAD3"/>
            <w:hideMark/>
          </w:tcPr>
          <w:p w14:paraId="72793197" w14:textId="77777777" w:rsidR="00E97649" w:rsidRDefault="00E97649">
            <w:pPr>
              <w:spacing w:after="160"/>
            </w:pPr>
            <w:r>
              <w:rPr>
                <w:color w:val="000000"/>
              </w:rPr>
              <w:t>Good practice examples for Member awareness</w:t>
            </w:r>
          </w:p>
        </w:tc>
        <w:tc>
          <w:tcPr>
            <w:tcW w:w="0" w:type="auto"/>
            <w:tcBorders>
              <w:top w:val="nil"/>
              <w:left w:val="nil"/>
              <w:bottom w:val="single" w:sz="8" w:space="0" w:color="6AA84F"/>
              <w:right w:val="single" w:sz="8" w:space="0" w:color="6AA84F"/>
            </w:tcBorders>
            <w:shd w:val="clear" w:color="auto" w:fill="D9EAD3"/>
            <w:hideMark/>
          </w:tcPr>
          <w:p w14:paraId="2E7056FB" w14:textId="77777777" w:rsidR="00E97649" w:rsidRDefault="00E97649">
            <w:pPr>
              <w:spacing w:after="160"/>
              <w:cnfStyle w:val="000000100000" w:firstRow="0" w:lastRow="0" w:firstColumn="0" w:lastColumn="0" w:oddVBand="0" w:evenVBand="0" w:oddHBand="1" w:evenHBand="0" w:firstRowFirstColumn="0" w:firstRowLastColumn="0" w:lastRowFirstColumn="0" w:lastRowLastColumn="0"/>
            </w:pPr>
            <w:r>
              <w:rPr>
                <w:color w:val="000000"/>
              </w:rPr>
              <w:t xml:space="preserve">Examples include positive feedback for staff who went above and beyond, completed work to a high standard, cleaned up after themselves, explained safety </w:t>
            </w:r>
            <w:r>
              <w:rPr>
                <w:color w:val="000000"/>
              </w:rPr>
              <w:lastRenderedPageBreak/>
              <w:t>and repair issues, worked respectfully in residents’ homes and treated residents with dignity.</w:t>
            </w:r>
          </w:p>
        </w:tc>
        <w:tc>
          <w:tcPr>
            <w:tcW w:w="0" w:type="auto"/>
            <w:tcBorders>
              <w:top w:val="nil"/>
              <w:left w:val="nil"/>
              <w:bottom w:val="single" w:sz="8" w:space="0" w:color="6AA84F"/>
              <w:right w:val="single" w:sz="8" w:space="0" w:color="6AA84F"/>
            </w:tcBorders>
            <w:shd w:val="clear" w:color="auto" w:fill="D9EAD3"/>
            <w:hideMark/>
          </w:tcPr>
          <w:p w14:paraId="26C5AF08" w14:textId="77777777" w:rsidR="00E97649" w:rsidRDefault="00E97649">
            <w:pPr>
              <w:spacing w:after="160"/>
              <w:cnfStyle w:val="000000100000" w:firstRow="0" w:lastRow="0" w:firstColumn="0" w:lastColumn="0" w:oddVBand="0" w:evenVBand="0" w:oddHBand="1" w:evenHBand="0" w:firstRowFirstColumn="0" w:firstRowLastColumn="0" w:lastRowFirstColumn="0" w:lastRowLastColumn="0"/>
            </w:pPr>
            <w:r>
              <w:rPr>
                <w:color w:val="000000"/>
              </w:rPr>
              <w:lastRenderedPageBreak/>
              <w:t xml:space="preserve">The 2025 comparison shows similar positive themes around professionalism, politeness, promptness, clear explanations and staff being helpful, </w:t>
            </w:r>
            <w:r>
              <w:rPr>
                <w:color w:val="000000"/>
              </w:rPr>
              <w:lastRenderedPageBreak/>
              <w:t>approachable and knowledgeable.</w:t>
            </w:r>
          </w:p>
        </w:tc>
        <w:tc>
          <w:tcPr>
            <w:tcW w:w="0" w:type="auto"/>
            <w:tcBorders>
              <w:top w:val="nil"/>
              <w:left w:val="nil"/>
              <w:bottom w:val="single" w:sz="8" w:space="0" w:color="6AA84F"/>
              <w:right w:val="single" w:sz="8" w:space="0" w:color="6AA84F"/>
            </w:tcBorders>
            <w:shd w:val="clear" w:color="auto" w:fill="D9EAD3"/>
            <w:hideMark/>
          </w:tcPr>
          <w:p w14:paraId="08D88334" w14:textId="77777777" w:rsidR="00E97649" w:rsidRDefault="00E97649">
            <w:pPr>
              <w:spacing w:after="160"/>
              <w:cnfStyle w:val="000000100000" w:firstRow="0" w:lastRow="0" w:firstColumn="0" w:lastColumn="0" w:oddVBand="0" w:evenVBand="0" w:oddHBand="1" w:evenHBand="0" w:firstRowFirstColumn="0" w:firstRowLastColumn="0" w:lastRowFirstColumn="0" w:lastRowLastColumn="0"/>
            </w:pPr>
            <w:r>
              <w:rPr>
                <w:color w:val="000000"/>
              </w:rPr>
              <w:lastRenderedPageBreak/>
              <w:t>DSO Building Management and wider Housing services.</w:t>
            </w:r>
          </w:p>
        </w:tc>
        <w:tc>
          <w:tcPr>
            <w:tcW w:w="0" w:type="auto"/>
            <w:tcBorders>
              <w:top w:val="nil"/>
              <w:left w:val="nil"/>
              <w:bottom w:val="single" w:sz="8" w:space="0" w:color="6AA84F"/>
              <w:right w:val="single" w:sz="8" w:space="0" w:color="6AA84F"/>
            </w:tcBorders>
            <w:shd w:val="clear" w:color="auto" w:fill="D9EAD3"/>
            <w:hideMark/>
          </w:tcPr>
          <w:p w14:paraId="752E0554" w14:textId="77777777" w:rsidR="00E97649" w:rsidRDefault="00E97649">
            <w:pPr>
              <w:spacing w:after="160"/>
              <w:cnfStyle w:val="000000100000" w:firstRow="0" w:lastRow="0" w:firstColumn="0" w:lastColumn="0" w:oddVBand="0" w:evenVBand="0" w:oddHBand="1" w:evenHBand="0" w:firstRowFirstColumn="0" w:firstRowLastColumn="0" w:lastRowFirstColumn="0" w:lastRowLastColumn="0"/>
            </w:pPr>
            <w:r>
              <w:rPr>
                <w:color w:val="000000"/>
              </w:rPr>
              <w:t xml:space="preserve">Residents described staff as polite, kind, professional, respectful, knowledgeable, tidy, efficient and helpful. Several compliments said staff were a credit to the team, </w:t>
            </w:r>
            <w:r>
              <w:rPr>
                <w:color w:val="000000"/>
              </w:rPr>
              <w:lastRenderedPageBreak/>
              <w:t>made a difficult situation easier or took personal circumstances into account.</w:t>
            </w:r>
          </w:p>
        </w:tc>
        <w:tc>
          <w:tcPr>
            <w:tcW w:w="0" w:type="auto"/>
            <w:tcBorders>
              <w:top w:val="nil"/>
              <w:left w:val="nil"/>
              <w:bottom w:val="single" w:sz="8" w:space="0" w:color="6AA84F"/>
              <w:right w:val="single" w:sz="8" w:space="0" w:color="6AA84F"/>
            </w:tcBorders>
            <w:shd w:val="clear" w:color="auto" w:fill="D9EAD3"/>
            <w:hideMark/>
          </w:tcPr>
          <w:p w14:paraId="018F6480" w14:textId="77777777" w:rsidR="00E97649" w:rsidRDefault="00E97649">
            <w:pPr>
              <w:spacing w:after="160"/>
              <w:cnfStyle w:val="000000100000" w:firstRow="0" w:lastRow="0" w:firstColumn="0" w:lastColumn="0" w:oddVBand="0" w:evenVBand="0" w:oddHBand="1" w:evenHBand="0" w:firstRowFirstColumn="0" w:firstRowLastColumn="0" w:lastRowFirstColumn="0" w:lastRowLastColumn="0"/>
            </w:pPr>
            <w:r>
              <w:rPr>
                <w:color w:val="000000"/>
              </w:rPr>
              <w:lastRenderedPageBreak/>
              <w:t xml:space="preserve">Recognise named staff and teams, use compliments in toolbox talks and team meetings, and link positive behaviours to the </w:t>
            </w:r>
            <w:r>
              <w:rPr>
                <w:color w:val="000000"/>
              </w:rPr>
              <w:lastRenderedPageBreak/>
              <w:t xml:space="preserve">wider </w:t>
            </w:r>
            <w:proofErr w:type="gramStart"/>
            <w:r>
              <w:rPr>
                <w:color w:val="000000"/>
              </w:rPr>
              <w:t>complaints</w:t>
            </w:r>
            <w:proofErr w:type="gramEnd"/>
            <w:r>
              <w:rPr>
                <w:color w:val="000000"/>
              </w:rPr>
              <w:t xml:space="preserve"> improvement plan.</w:t>
            </w:r>
          </w:p>
        </w:tc>
      </w:tr>
    </w:tbl>
    <w:p w14:paraId="031F6E26" w14:textId="77777777" w:rsidR="00D043C7" w:rsidRDefault="00F817C6" w:rsidP="00F817C6">
      <w:pPr>
        <w:pStyle w:val="Heading1"/>
        <w:rPr>
          <w:rFonts w:cstheme="minorBidi"/>
        </w:rPr>
      </w:pPr>
      <w:r w:rsidRPr="00F817C6">
        <w:rPr>
          <w:rFonts w:cstheme="minorBidi"/>
        </w:rPr>
        <w:lastRenderedPageBreak/>
        <w:t>7. Housing Ombudsman, Regulation and Sector Learning</w:t>
      </w:r>
    </w:p>
    <w:p w14:paraId="07306D2A" w14:textId="77777777" w:rsidR="0077088B" w:rsidRDefault="0077088B">
      <w:pPr>
        <w:rPr>
          <w:lang w:eastAsia="en-GB"/>
        </w:rPr>
      </w:pPr>
      <w:r>
        <w:t xml:space="preserve">This section should summarise any Housing Ombudsman determinations, maladministration findings, Complaint Handling Code updates, spotlight reports or wider sector learning considered during the quarter. The update should explain what has been </w:t>
      </w:r>
      <w:proofErr w:type="gramStart"/>
      <w:r>
        <w:t>reviewed,</w:t>
      </w:r>
      <w:proofErr w:type="gramEnd"/>
      <w:r>
        <w:t xml:space="preserve"> whether local practice requires change and how any relevant learning has been converted into policy, process, training or service improvement activity.</w:t>
      </w:r>
    </w:p>
    <w:tbl>
      <w:tblPr>
        <w:tblStyle w:val="GridTable4-Accent1"/>
        <w:tblW w:w="0" w:type="auto"/>
        <w:tblBorders>
          <w:top w:val="single" w:sz="4" w:space="0" w:color="6AA84F"/>
          <w:left w:val="single" w:sz="4" w:space="0" w:color="6AA84F"/>
          <w:bottom w:val="single" w:sz="4" w:space="0" w:color="6AA84F"/>
          <w:right w:val="single" w:sz="4" w:space="0" w:color="6AA84F"/>
          <w:insideH w:val="single" w:sz="4" w:space="0" w:color="6AA84F"/>
          <w:insideV w:val="single" w:sz="4" w:space="0" w:color="6AA84F"/>
        </w:tblBorders>
        <w:tblLook w:val="04A0" w:firstRow="1" w:lastRow="0" w:firstColumn="1" w:lastColumn="0" w:noHBand="0" w:noVBand="1"/>
      </w:tblPr>
      <w:tblGrid>
        <w:gridCol w:w="2953"/>
        <w:gridCol w:w="1460"/>
        <w:gridCol w:w="4313"/>
        <w:gridCol w:w="3975"/>
        <w:gridCol w:w="1247"/>
      </w:tblGrid>
      <w:tr w:rsidR="0077088B" w14:paraId="180C7E3B" w14:textId="77777777" w:rsidTr="00005D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shd w:val="clear" w:color="2F6B3F" w:fill="2F6B3F"/>
            <w:hideMark/>
          </w:tcPr>
          <w:p w14:paraId="0F318CE5" w14:textId="77777777" w:rsidR="0077088B" w:rsidRDefault="0077088B">
            <w:pPr>
              <w:spacing w:after="160"/>
              <w:rPr>
                <w:lang w:eastAsia="en-GB"/>
              </w:rPr>
            </w:pPr>
            <w:r>
              <w:t>Source of learning</w:t>
            </w:r>
          </w:p>
        </w:tc>
        <w:tc>
          <w:tcPr>
            <w:tcW w:w="0" w:type="auto"/>
            <w:tcBorders>
              <w:top w:val="none" w:sz="0" w:space="0" w:color="auto"/>
              <w:left w:val="none" w:sz="0" w:space="0" w:color="auto"/>
              <w:bottom w:val="none" w:sz="0" w:space="0" w:color="auto"/>
              <w:right w:val="none" w:sz="0" w:space="0" w:color="auto"/>
            </w:tcBorders>
            <w:shd w:val="clear" w:color="2F6B3F" w:fill="2F6B3F"/>
            <w:hideMark/>
          </w:tcPr>
          <w:p w14:paraId="7AF6F75F" w14:textId="77777777" w:rsidR="0077088B" w:rsidRDefault="0077088B">
            <w:pPr>
              <w:spacing w:after="160"/>
              <w:cnfStyle w:val="100000000000" w:firstRow="1" w:lastRow="0" w:firstColumn="0" w:lastColumn="0" w:oddVBand="0" w:evenVBand="0" w:oddHBand="0" w:evenHBand="0" w:firstRowFirstColumn="0" w:firstRowLastColumn="0" w:lastRowFirstColumn="0" w:lastRowLastColumn="0"/>
            </w:pPr>
            <w:r>
              <w:t>Issue identified</w:t>
            </w:r>
          </w:p>
        </w:tc>
        <w:tc>
          <w:tcPr>
            <w:tcW w:w="0" w:type="auto"/>
            <w:tcBorders>
              <w:top w:val="none" w:sz="0" w:space="0" w:color="auto"/>
              <w:left w:val="none" w:sz="0" w:space="0" w:color="auto"/>
              <w:bottom w:val="none" w:sz="0" w:space="0" w:color="auto"/>
              <w:right w:val="none" w:sz="0" w:space="0" w:color="auto"/>
            </w:tcBorders>
            <w:shd w:val="clear" w:color="2F6B3F" w:fill="2F6B3F"/>
            <w:hideMark/>
          </w:tcPr>
          <w:p w14:paraId="6F7CE19C" w14:textId="77777777" w:rsidR="0077088B" w:rsidRDefault="0077088B">
            <w:pPr>
              <w:spacing w:after="160"/>
              <w:cnfStyle w:val="100000000000" w:firstRow="1" w:lastRow="0" w:firstColumn="0" w:lastColumn="0" w:oddVBand="0" w:evenVBand="0" w:oddHBand="0" w:evenHBand="0" w:firstRowFirstColumn="0" w:firstRowLastColumn="0" w:lastRowFirstColumn="0" w:lastRowLastColumn="0"/>
            </w:pPr>
            <w:r>
              <w:t>Local relevance</w:t>
            </w:r>
          </w:p>
        </w:tc>
        <w:tc>
          <w:tcPr>
            <w:tcW w:w="0" w:type="auto"/>
            <w:tcBorders>
              <w:top w:val="none" w:sz="0" w:space="0" w:color="auto"/>
              <w:left w:val="none" w:sz="0" w:space="0" w:color="auto"/>
              <w:bottom w:val="none" w:sz="0" w:space="0" w:color="auto"/>
              <w:right w:val="none" w:sz="0" w:space="0" w:color="auto"/>
            </w:tcBorders>
            <w:shd w:val="clear" w:color="2F6B3F" w:fill="2F6B3F"/>
            <w:hideMark/>
          </w:tcPr>
          <w:p w14:paraId="24E7FF4E" w14:textId="77777777" w:rsidR="0077088B" w:rsidRDefault="0077088B">
            <w:pPr>
              <w:spacing w:after="160"/>
              <w:cnfStyle w:val="100000000000" w:firstRow="1" w:lastRow="0" w:firstColumn="0" w:lastColumn="0" w:oddVBand="0" w:evenVBand="0" w:oddHBand="0" w:evenHBand="0" w:firstRowFirstColumn="0" w:firstRowLastColumn="0" w:lastRowFirstColumn="0" w:lastRowLastColumn="0"/>
            </w:pPr>
            <w:r>
              <w:t>Action agreed</w:t>
            </w:r>
          </w:p>
        </w:tc>
        <w:tc>
          <w:tcPr>
            <w:tcW w:w="0" w:type="auto"/>
            <w:tcBorders>
              <w:top w:val="none" w:sz="0" w:space="0" w:color="auto"/>
              <w:left w:val="none" w:sz="0" w:space="0" w:color="auto"/>
              <w:bottom w:val="none" w:sz="0" w:space="0" w:color="auto"/>
              <w:right w:val="none" w:sz="0" w:space="0" w:color="auto"/>
            </w:tcBorders>
            <w:shd w:val="clear" w:color="2F6B3F" w:fill="2F6B3F"/>
            <w:hideMark/>
          </w:tcPr>
          <w:p w14:paraId="733A20E2" w14:textId="77777777" w:rsidR="0077088B" w:rsidRDefault="0077088B">
            <w:pPr>
              <w:spacing w:after="160"/>
              <w:cnfStyle w:val="100000000000" w:firstRow="1" w:lastRow="0" w:firstColumn="0" w:lastColumn="0" w:oddVBand="0" w:evenVBand="0" w:oddHBand="0" w:evenHBand="0" w:firstRowFirstColumn="0" w:firstRowLastColumn="0" w:lastRowFirstColumn="0" w:lastRowLastColumn="0"/>
            </w:pPr>
            <w:r>
              <w:t>Status</w:t>
            </w:r>
          </w:p>
        </w:tc>
      </w:tr>
      <w:tr w:rsidR="0077088B" w14:paraId="07E88386" w14:textId="77777777" w:rsidTr="00005D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D9EAD3" w:fill="D9EAD3"/>
            <w:hideMark/>
          </w:tcPr>
          <w:p w14:paraId="3253684A" w14:textId="0F553E33" w:rsidR="0077088B" w:rsidRDefault="0077088B">
            <w:pPr>
              <w:spacing w:after="160"/>
            </w:pPr>
            <w:r>
              <w:t>Ombudsman finding</w:t>
            </w:r>
            <w:r w:rsidR="006A7B4A">
              <w:t>s/ cases considered</w:t>
            </w:r>
          </w:p>
        </w:tc>
        <w:tc>
          <w:tcPr>
            <w:tcW w:w="0" w:type="auto"/>
            <w:shd w:val="clear" w:color="D9EAD3" w:fill="D9EAD3"/>
            <w:hideMark/>
          </w:tcPr>
          <w:p w14:paraId="44D4A3F7" w14:textId="6A6419DB" w:rsidR="0077088B" w:rsidRDefault="006A7B4A">
            <w:pPr>
              <w:spacing w:after="160"/>
              <w:cnfStyle w:val="000000100000" w:firstRow="0" w:lastRow="0" w:firstColumn="0" w:lastColumn="0" w:oddVBand="0" w:evenVBand="0" w:oddHBand="1" w:evenHBand="0" w:firstRowFirstColumn="0" w:firstRowLastColumn="0" w:lastRowFirstColumn="0" w:lastRowLastColumn="0"/>
            </w:pPr>
            <w:r>
              <w:t>0</w:t>
            </w:r>
          </w:p>
        </w:tc>
        <w:tc>
          <w:tcPr>
            <w:tcW w:w="0" w:type="auto"/>
            <w:shd w:val="clear" w:color="D9EAD3" w:fill="D9EAD3"/>
            <w:hideMark/>
          </w:tcPr>
          <w:p w14:paraId="2CA326B4" w14:textId="53B117E3" w:rsidR="0077088B" w:rsidRDefault="00B30F3F">
            <w:pPr>
              <w:spacing w:after="160"/>
              <w:cnfStyle w:val="000000100000" w:firstRow="0" w:lastRow="0" w:firstColumn="0" w:lastColumn="0" w:oddVBand="0" w:evenVBand="0" w:oddHBand="1" w:evenHBand="0" w:firstRowFirstColumn="0" w:firstRowLastColumn="0" w:lastRowFirstColumn="0" w:lastRowLastColumn="0"/>
            </w:pPr>
            <w:r>
              <w:t>No cases were considered during Q1</w:t>
            </w:r>
          </w:p>
        </w:tc>
        <w:tc>
          <w:tcPr>
            <w:tcW w:w="0" w:type="auto"/>
            <w:shd w:val="clear" w:color="D9EAD3" w:fill="D9EAD3"/>
            <w:hideMark/>
          </w:tcPr>
          <w:p w14:paraId="0A10976B" w14:textId="77B13A93" w:rsidR="0077088B" w:rsidRDefault="00B30F3F">
            <w:pPr>
              <w:spacing w:after="160"/>
              <w:cnfStyle w:val="000000100000" w:firstRow="0" w:lastRow="0" w:firstColumn="0" w:lastColumn="0" w:oddVBand="0" w:evenVBand="0" w:oddHBand="1" w:evenHBand="0" w:firstRowFirstColumn="0" w:firstRowLastColumn="0" w:lastRowFirstColumn="0" w:lastRowLastColumn="0"/>
            </w:pPr>
            <w:r>
              <w:t>None required</w:t>
            </w:r>
          </w:p>
        </w:tc>
        <w:tc>
          <w:tcPr>
            <w:tcW w:w="0" w:type="auto"/>
            <w:shd w:val="clear" w:color="D9EAD3" w:fill="D9EAD3"/>
            <w:hideMark/>
          </w:tcPr>
          <w:p w14:paraId="398D970C" w14:textId="25B5D040" w:rsidR="0077088B" w:rsidRDefault="00B30F3F">
            <w:pPr>
              <w:spacing w:after="160"/>
              <w:cnfStyle w:val="000000100000" w:firstRow="0" w:lastRow="0" w:firstColumn="0" w:lastColumn="0" w:oddVBand="0" w:evenVBand="0" w:oddHBand="1" w:evenHBand="0" w:firstRowFirstColumn="0" w:firstRowLastColumn="0" w:lastRowFirstColumn="0" w:lastRowLastColumn="0"/>
            </w:pPr>
            <w:r>
              <w:t>-</w:t>
            </w:r>
          </w:p>
        </w:tc>
      </w:tr>
      <w:tr w:rsidR="00F94163" w14:paraId="20217C6F" w14:textId="77777777" w:rsidTr="00005D90">
        <w:tc>
          <w:tcPr>
            <w:cnfStyle w:val="001000000000" w:firstRow="0" w:lastRow="0" w:firstColumn="1" w:lastColumn="0" w:oddVBand="0" w:evenVBand="0" w:oddHBand="0" w:evenHBand="0" w:firstRowFirstColumn="0" w:firstRowLastColumn="0" w:lastRowFirstColumn="0" w:lastRowLastColumn="0"/>
            <w:tcW w:w="0" w:type="auto"/>
            <w:shd w:val="clear" w:color="D9EAD3" w:fill="D9EAD3"/>
          </w:tcPr>
          <w:p w14:paraId="2403F314" w14:textId="3C0B63A8" w:rsidR="00F94163" w:rsidRDefault="00356B25">
            <w:r>
              <w:t>Housing</w:t>
            </w:r>
            <w:r w:rsidR="00CA1480">
              <w:t xml:space="preserve"> Ombudsman</w:t>
            </w:r>
            <w:r>
              <w:t xml:space="preserve"> Spotlight Report- Repairing Trust</w:t>
            </w:r>
          </w:p>
        </w:tc>
        <w:tc>
          <w:tcPr>
            <w:tcW w:w="0" w:type="auto"/>
            <w:shd w:val="clear" w:color="D9EAD3" w:fill="D9EAD3"/>
          </w:tcPr>
          <w:p w14:paraId="4690FE89" w14:textId="77777777" w:rsidR="00F94163" w:rsidRDefault="00F94163">
            <w:pPr>
              <w:cnfStyle w:val="000000000000" w:firstRow="0" w:lastRow="0" w:firstColumn="0" w:lastColumn="0" w:oddVBand="0" w:evenVBand="0" w:oddHBand="0" w:evenHBand="0" w:firstRowFirstColumn="0" w:firstRowLastColumn="0" w:lastRowFirstColumn="0" w:lastRowLastColumn="0"/>
            </w:pPr>
          </w:p>
        </w:tc>
        <w:tc>
          <w:tcPr>
            <w:tcW w:w="0" w:type="auto"/>
            <w:shd w:val="clear" w:color="D9EAD3" w:fill="D9EAD3"/>
          </w:tcPr>
          <w:p w14:paraId="4381B76B" w14:textId="2146495D" w:rsidR="00F94163" w:rsidRDefault="00356B25">
            <w:pPr>
              <w:cnfStyle w:val="000000000000" w:firstRow="0" w:lastRow="0" w:firstColumn="0" w:lastColumn="0" w:oddVBand="0" w:evenVBand="0" w:oddHBand="0" w:evenHBand="0" w:firstRowFirstColumn="0" w:firstRowLastColumn="0" w:lastRowFirstColumn="0" w:lastRowLastColumn="0"/>
            </w:pPr>
            <w:r>
              <w:t xml:space="preserve">HO has made </w:t>
            </w:r>
            <w:proofErr w:type="gramStart"/>
            <w:r>
              <w:t>a number of</w:t>
            </w:r>
            <w:proofErr w:type="gramEnd"/>
            <w:r>
              <w:t xml:space="preserve"> recommendations </w:t>
            </w:r>
            <w:proofErr w:type="gramStart"/>
            <w:r>
              <w:t>in regards to</w:t>
            </w:r>
            <w:proofErr w:type="gramEnd"/>
            <w:r>
              <w:t xml:space="preserve"> repairs and building trust with tenants.</w:t>
            </w:r>
          </w:p>
        </w:tc>
        <w:tc>
          <w:tcPr>
            <w:tcW w:w="0" w:type="auto"/>
            <w:shd w:val="clear" w:color="D9EAD3" w:fill="D9EAD3"/>
          </w:tcPr>
          <w:p w14:paraId="6266620E" w14:textId="10D9521F" w:rsidR="00F94163" w:rsidRDefault="00356B25">
            <w:pPr>
              <w:cnfStyle w:val="000000000000" w:firstRow="0" w:lastRow="0" w:firstColumn="0" w:lastColumn="0" w:oddVBand="0" w:evenVBand="0" w:oddHBand="0" w:evenHBand="0" w:firstRowFirstColumn="0" w:firstRowLastColumn="0" w:lastRowFirstColumn="0" w:lastRowLastColumn="0"/>
            </w:pPr>
            <w:r>
              <w:t>Working group has been formed with an action plan presented to Housing Cabinet Committee June 2026</w:t>
            </w:r>
          </w:p>
        </w:tc>
        <w:tc>
          <w:tcPr>
            <w:tcW w:w="0" w:type="auto"/>
            <w:shd w:val="clear" w:color="D9EAD3" w:fill="D9EAD3"/>
          </w:tcPr>
          <w:p w14:paraId="0CCC994B" w14:textId="4C2952DB" w:rsidR="00F94163" w:rsidRDefault="00CA1480">
            <w:pPr>
              <w:cnfStyle w:val="000000000000" w:firstRow="0" w:lastRow="0" w:firstColumn="0" w:lastColumn="0" w:oddVBand="0" w:evenVBand="0" w:oddHBand="0" w:evenHBand="0" w:firstRowFirstColumn="0" w:firstRowLastColumn="0" w:lastRowFirstColumn="0" w:lastRowLastColumn="0"/>
            </w:pPr>
            <w:r>
              <w:t>In Progress</w:t>
            </w:r>
          </w:p>
        </w:tc>
      </w:tr>
    </w:tbl>
    <w:p w14:paraId="6DA3C64D" w14:textId="77777777" w:rsidR="00D043C7" w:rsidRDefault="00372F30" w:rsidP="00372F30">
      <w:pPr>
        <w:pStyle w:val="Heading1"/>
        <w:rPr>
          <w:rFonts w:cstheme="minorBidi"/>
        </w:rPr>
      </w:pPr>
      <w:r w:rsidRPr="00372F30">
        <w:rPr>
          <w:rFonts w:cstheme="minorBidi"/>
        </w:rPr>
        <w:t>8. Risks, Exceptions and Decisions Required</w:t>
      </w:r>
    </w:p>
    <w:tbl>
      <w:tblPr>
        <w:tblStyle w:val="GridTable4-Accent1"/>
        <w:tblW w:w="0" w:type="auto"/>
        <w:tblLook w:val="04A0" w:firstRow="1" w:lastRow="0" w:firstColumn="1" w:lastColumn="0" w:noHBand="0" w:noVBand="1"/>
      </w:tblPr>
      <w:tblGrid>
        <w:gridCol w:w="2597"/>
        <w:gridCol w:w="3443"/>
        <w:gridCol w:w="2825"/>
        <w:gridCol w:w="3274"/>
        <w:gridCol w:w="1799"/>
      </w:tblGrid>
      <w:tr w:rsidR="00C00B1E" w14:paraId="5025C57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6AA84F"/>
              <w:left w:val="single" w:sz="8" w:space="0" w:color="6AA84F"/>
              <w:bottom w:val="single" w:sz="8" w:space="0" w:color="6AA84F"/>
              <w:right w:val="single" w:sz="8" w:space="0" w:color="6AA84F"/>
            </w:tcBorders>
            <w:shd w:val="clear" w:color="auto" w:fill="2F6B3F"/>
            <w:hideMark/>
          </w:tcPr>
          <w:p w14:paraId="40BB9F79" w14:textId="77777777" w:rsidR="00C00B1E" w:rsidRDefault="00C00B1E">
            <w:pPr>
              <w:spacing w:after="160"/>
              <w:rPr>
                <w:lang w:eastAsia="en-GB"/>
              </w:rPr>
            </w:pPr>
            <w:r>
              <w:t>Risk / exception</w:t>
            </w:r>
          </w:p>
        </w:tc>
        <w:tc>
          <w:tcPr>
            <w:tcW w:w="0" w:type="auto"/>
            <w:tcBorders>
              <w:top w:val="single" w:sz="8" w:space="0" w:color="6AA84F"/>
              <w:bottom w:val="single" w:sz="8" w:space="0" w:color="6AA84F"/>
              <w:right w:val="single" w:sz="8" w:space="0" w:color="6AA84F"/>
            </w:tcBorders>
            <w:shd w:val="clear" w:color="auto" w:fill="2F6B3F"/>
            <w:hideMark/>
          </w:tcPr>
          <w:p w14:paraId="78E1B5BA" w14:textId="77777777" w:rsidR="00C00B1E" w:rsidRDefault="00C00B1E">
            <w:pPr>
              <w:spacing w:after="160"/>
              <w:cnfStyle w:val="100000000000" w:firstRow="1" w:lastRow="0" w:firstColumn="0" w:lastColumn="0" w:oddVBand="0" w:evenVBand="0" w:oddHBand="0" w:evenHBand="0" w:firstRowFirstColumn="0" w:firstRowLastColumn="0" w:lastRowFirstColumn="0" w:lastRowLastColumn="0"/>
            </w:pPr>
            <w:r>
              <w:t>Impact</w:t>
            </w:r>
          </w:p>
        </w:tc>
        <w:tc>
          <w:tcPr>
            <w:tcW w:w="0" w:type="auto"/>
            <w:tcBorders>
              <w:top w:val="single" w:sz="8" w:space="0" w:color="6AA84F"/>
              <w:bottom w:val="single" w:sz="8" w:space="0" w:color="6AA84F"/>
              <w:right w:val="single" w:sz="8" w:space="0" w:color="6AA84F"/>
            </w:tcBorders>
            <w:shd w:val="clear" w:color="auto" w:fill="2F6B3F"/>
            <w:hideMark/>
          </w:tcPr>
          <w:p w14:paraId="0605996F" w14:textId="77777777" w:rsidR="00C00B1E" w:rsidRDefault="00C00B1E">
            <w:pPr>
              <w:spacing w:after="160"/>
              <w:cnfStyle w:val="100000000000" w:firstRow="1" w:lastRow="0" w:firstColumn="0" w:lastColumn="0" w:oddVBand="0" w:evenVBand="0" w:oddHBand="0" w:evenHBand="0" w:firstRowFirstColumn="0" w:firstRowLastColumn="0" w:lastRowFirstColumn="0" w:lastRowLastColumn="0"/>
            </w:pPr>
            <w:r>
              <w:t>Current control or mitigation</w:t>
            </w:r>
          </w:p>
        </w:tc>
        <w:tc>
          <w:tcPr>
            <w:tcW w:w="0" w:type="auto"/>
            <w:tcBorders>
              <w:top w:val="single" w:sz="8" w:space="0" w:color="6AA84F"/>
              <w:bottom w:val="single" w:sz="8" w:space="0" w:color="6AA84F"/>
              <w:right w:val="single" w:sz="8" w:space="0" w:color="6AA84F"/>
            </w:tcBorders>
            <w:shd w:val="clear" w:color="auto" w:fill="2F6B3F"/>
            <w:hideMark/>
          </w:tcPr>
          <w:p w14:paraId="1FDBEA5A" w14:textId="77777777" w:rsidR="00C00B1E" w:rsidRDefault="00C00B1E">
            <w:pPr>
              <w:spacing w:after="160"/>
              <w:cnfStyle w:val="100000000000" w:firstRow="1" w:lastRow="0" w:firstColumn="0" w:lastColumn="0" w:oddVBand="0" w:evenVBand="0" w:oddHBand="0" w:evenHBand="0" w:firstRowFirstColumn="0" w:firstRowLastColumn="0" w:lastRowFirstColumn="0" w:lastRowLastColumn="0"/>
            </w:pPr>
            <w:r>
              <w:t>Further action required</w:t>
            </w:r>
          </w:p>
        </w:tc>
        <w:tc>
          <w:tcPr>
            <w:tcW w:w="0" w:type="auto"/>
            <w:tcBorders>
              <w:top w:val="single" w:sz="8" w:space="0" w:color="6AA84F"/>
              <w:bottom w:val="single" w:sz="8" w:space="0" w:color="6AA84F"/>
              <w:right w:val="single" w:sz="8" w:space="0" w:color="6AA84F"/>
            </w:tcBorders>
            <w:shd w:val="clear" w:color="auto" w:fill="2F6B3F"/>
            <w:hideMark/>
          </w:tcPr>
          <w:p w14:paraId="52BA4CEB" w14:textId="77777777" w:rsidR="00C00B1E" w:rsidRDefault="00C00B1E">
            <w:pPr>
              <w:spacing w:after="160"/>
              <w:cnfStyle w:val="100000000000" w:firstRow="1" w:lastRow="0" w:firstColumn="0" w:lastColumn="0" w:oddVBand="0" w:evenVBand="0" w:oddHBand="0" w:evenHBand="0" w:firstRowFirstColumn="0" w:firstRowLastColumn="0" w:lastRowFirstColumn="0" w:lastRowLastColumn="0"/>
            </w:pPr>
            <w:r>
              <w:t>Member awareness / decision</w:t>
            </w:r>
          </w:p>
        </w:tc>
      </w:tr>
      <w:tr w:rsidR="00C00B1E" w14:paraId="678E04B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6AA84F"/>
              <w:bottom w:val="single" w:sz="8" w:space="0" w:color="6AA84F"/>
              <w:right w:val="single" w:sz="8" w:space="0" w:color="6AA84F"/>
            </w:tcBorders>
            <w:shd w:val="clear" w:color="auto" w:fill="D9EAD3"/>
            <w:hideMark/>
          </w:tcPr>
          <w:p w14:paraId="54161863" w14:textId="77777777" w:rsidR="00C00B1E" w:rsidRDefault="00C00B1E">
            <w:pPr>
              <w:spacing w:after="160"/>
            </w:pPr>
            <w:r>
              <w:rPr>
                <w:color w:val="000000"/>
              </w:rPr>
              <w:lastRenderedPageBreak/>
              <w:t>Open complaint cases approaching or beyond target monitoring point</w:t>
            </w:r>
          </w:p>
        </w:tc>
        <w:tc>
          <w:tcPr>
            <w:tcW w:w="0" w:type="auto"/>
            <w:tcBorders>
              <w:top w:val="nil"/>
              <w:left w:val="nil"/>
              <w:bottom w:val="single" w:sz="8" w:space="0" w:color="6AA84F"/>
              <w:right w:val="single" w:sz="8" w:space="0" w:color="6AA84F"/>
            </w:tcBorders>
            <w:shd w:val="clear" w:color="auto" w:fill="D9EAD3"/>
            <w:hideMark/>
          </w:tcPr>
          <w:p w14:paraId="6EB26ED8" w14:textId="77777777" w:rsidR="00C00B1E" w:rsidRDefault="00C00B1E">
            <w:pPr>
              <w:spacing w:after="160"/>
              <w:cnfStyle w:val="000000100000" w:firstRow="0" w:lastRow="0" w:firstColumn="0" w:lastColumn="0" w:oddVBand="0" w:evenVBand="0" w:oddHBand="1" w:evenHBand="0" w:firstRowFirstColumn="0" w:firstRowLastColumn="0" w:lastRowFirstColumn="0" w:lastRowLastColumn="0"/>
            </w:pPr>
            <w:r>
              <w:rPr>
                <w:color w:val="000000"/>
              </w:rPr>
              <w:t>Risk of late responses, poor resident experience and non-compliance if extensions and updates are not managed properly.</w:t>
            </w:r>
          </w:p>
        </w:tc>
        <w:tc>
          <w:tcPr>
            <w:tcW w:w="0" w:type="auto"/>
            <w:tcBorders>
              <w:top w:val="nil"/>
              <w:left w:val="nil"/>
              <w:bottom w:val="single" w:sz="8" w:space="0" w:color="6AA84F"/>
              <w:right w:val="single" w:sz="8" w:space="0" w:color="6AA84F"/>
            </w:tcBorders>
            <w:shd w:val="clear" w:color="auto" w:fill="D9EAD3"/>
            <w:hideMark/>
          </w:tcPr>
          <w:p w14:paraId="4E534F5A" w14:textId="77777777" w:rsidR="00C00B1E" w:rsidRDefault="00C00B1E">
            <w:pPr>
              <w:spacing w:after="160"/>
              <w:cnfStyle w:val="000000100000" w:firstRow="0" w:lastRow="0" w:firstColumn="0" w:lastColumn="0" w:oddVBand="0" w:evenVBand="0" w:oddHBand="1" w:evenHBand="0" w:firstRowFirstColumn="0" w:firstRowLastColumn="0" w:lastRowFirstColumn="0" w:lastRowLastColumn="0"/>
            </w:pPr>
            <w:r>
              <w:rPr>
                <w:color w:val="000000"/>
              </w:rPr>
              <w:t>Complaint tracker and target dates are recorded.</w:t>
            </w:r>
          </w:p>
        </w:tc>
        <w:tc>
          <w:tcPr>
            <w:tcW w:w="0" w:type="auto"/>
            <w:tcBorders>
              <w:top w:val="nil"/>
              <w:left w:val="nil"/>
              <w:bottom w:val="single" w:sz="8" w:space="0" w:color="6AA84F"/>
              <w:right w:val="single" w:sz="8" w:space="0" w:color="6AA84F"/>
            </w:tcBorders>
            <w:shd w:val="clear" w:color="auto" w:fill="D9EAD3"/>
            <w:hideMark/>
          </w:tcPr>
          <w:p w14:paraId="6D180556" w14:textId="77777777" w:rsidR="00C00B1E" w:rsidRDefault="00C00B1E">
            <w:pPr>
              <w:spacing w:after="160"/>
              <w:cnfStyle w:val="000000100000" w:firstRow="0" w:lastRow="0" w:firstColumn="0" w:lastColumn="0" w:oddVBand="0" w:evenVBand="0" w:oddHBand="1" w:evenHBand="0" w:firstRowFirstColumn="0" w:firstRowLastColumn="0" w:lastRowFirstColumn="0" w:lastRowLastColumn="0"/>
            </w:pPr>
            <w:r>
              <w:rPr>
                <w:color w:val="000000"/>
              </w:rPr>
              <w:t>Weekly management review of open complaints and early use of holding responses where required.</w:t>
            </w:r>
          </w:p>
        </w:tc>
        <w:tc>
          <w:tcPr>
            <w:tcW w:w="0" w:type="auto"/>
            <w:tcBorders>
              <w:top w:val="nil"/>
              <w:left w:val="nil"/>
              <w:bottom w:val="single" w:sz="8" w:space="0" w:color="6AA84F"/>
              <w:right w:val="single" w:sz="8" w:space="0" w:color="6AA84F"/>
            </w:tcBorders>
            <w:shd w:val="clear" w:color="auto" w:fill="D9EAD3"/>
            <w:hideMark/>
          </w:tcPr>
          <w:p w14:paraId="4D91A5AF" w14:textId="77777777" w:rsidR="00C00B1E" w:rsidRDefault="00C00B1E">
            <w:pPr>
              <w:spacing w:after="160"/>
              <w:cnfStyle w:val="000000100000" w:firstRow="0" w:lastRow="0" w:firstColumn="0" w:lastColumn="0" w:oddVBand="0" w:evenVBand="0" w:oddHBand="1" w:evenHBand="0" w:firstRowFirstColumn="0" w:firstRowLastColumn="0" w:lastRowFirstColumn="0" w:lastRowLastColumn="0"/>
            </w:pPr>
            <w:r>
              <w:rPr>
                <w:color w:val="000000"/>
              </w:rPr>
              <w:t>For noting</w:t>
            </w:r>
          </w:p>
        </w:tc>
      </w:tr>
      <w:tr w:rsidR="00C00B1E" w14:paraId="5BAF7716" w14:textId="77777777">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6AA84F"/>
              <w:bottom w:val="single" w:sz="8" w:space="0" w:color="6AA84F"/>
              <w:right w:val="single" w:sz="8" w:space="0" w:color="6AA84F"/>
            </w:tcBorders>
            <w:hideMark/>
          </w:tcPr>
          <w:p w14:paraId="4E57A7A9" w14:textId="77777777" w:rsidR="00C00B1E" w:rsidRDefault="00C00B1E">
            <w:pPr>
              <w:spacing w:after="160"/>
            </w:pPr>
            <w:r>
              <w:t>Repairs, damp and mould, asbestos and safety-related complaints</w:t>
            </w:r>
          </w:p>
        </w:tc>
        <w:tc>
          <w:tcPr>
            <w:tcW w:w="0" w:type="auto"/>
            <w:tcBorders>
              <w:top w:val="nil"/>
              <w:left w:val="nil"/>
              <w:bottom w:val="single" w:sz="8" w:space="0" w:color="6AA84F"/>
              <w:right w:val="single" w:sz="8" w:space="0" w:color="6AA84F"/>
            </w:tcBorders>
            <w:hideMark/>
          </w:tcPr>
          <w:p w14:paraId="13C7EDAB" w14:textId="77777777" w:rsidR="00C00B1E" w:rsidRDefault="00C00B1E">
            <w:pPr>
              <w:spacing w:after="160"/>
              <w:cnfStyle w:val="000000000000" w:firstRow="0" w:lastRow="0" w:firstColumn="0" w:lastColumn="0" w:oddVBand="0" w:evenVBand="0" w:oddHBand="0" w:evenHBand="0" w:firstRowFirstColumn="0" w:firstRowLastColumn="0" w:lastRowFirstColumn="0" w:lastRowLastColumn="0"/>
            </w:pPr>
            <w:r>
              <w:t>Potential tenant health, safety, reputational and regulatory risk, particularly where children, disability or damp and mould are involved.</w:t>
            </w:r>
          </w:p>
        </w:tc>
        <w:tc>
          <w:tcPr>
            <w:tcW w:w="0" w:type="auto"/>
            <w:tcBorders>
              <w:top w:val="nil"/>
              <w:left w:val="nil"/>
              <w:bottom w:val="single" w:sz="8" w:space="0" w:color="6AA84F"/>
              <w:right w:val="single" w:sz="8" w:space="0" w:color="6AA84F"/>
            </w:tcBorders>
            <w:hideMark/>
          </w:tcPr>
          <w:p w14:paraId="77F5627A" w14:textId="77777777" w:rsidR="00C00B1E" w:rsidRDefault="00C00B1E">
            <w:pPr>
              <w:spacing w:after="160"/>
              <w:cnfStyle w:val="000000000000" w:firstRow="0" w:lastRow="0" w:firstColumn="0" w:lastColumn="0" w:oddVBand="0" w:evenVBand="0" w:oddHBand="0" w:evenHBand="0" w:firstRowFirstColumn="0" w:firstRowLastColumn="0" w:lastRowFirstColumn="0" w:lastRowLastColumn="0"/>
            </w:pPr>
            <w:r>
              <w:t>Repairs and complaint investigations are identifying learning points and follow-on actions.</w:t>
            </w:r>
          </w:p>
        </w:tc>
        <w:tc>
          <w:tcPr>
            <w:tcW w:w="0" w:type="auto"/>
            <w:tcBorders>
              <w:top w:val="nil"/>
              <w:left w:val="nil"/>
              <w:bottom w:val="single" w:sz="8" w:space="0" w:color="6AA84F"/>
              <w:right w:val="single" w:sz="8" w:space="0" w:color="6AA84F"/>
            </w:tcBorders>
            <w:hideMark/>
          </w:tcPr>
          <w:p w14:paraId="1BCFECB7" w14:textId="77777777" w:rsidR="00C00B1E" w:rsidRDefault="00C00B1E">
            <w:pPr>
              <w:spacing w:after="160"/>
              <w:cnfStyle w:val="000000000000" w:firstRow="0" w:lastRow="0" w:firstColumn="0" w:lastColumn="0" w:oddVBand="0" w:evenVBand="0" w:oddHBand="0" w:evenHBand="0" w:firstRowFirstColumn="0" w:firstRowLastColumn="0" w:lastRowFirstColumn="0" w:lastRowLastColumn="0"/>
            </w:pPr>
            <w:r>
              <w:t>Strengthen action tracking and escalation for complex cases, including damp and mould and multi-trade works.</w:t>
            </w:r>
          </w:p>
        </w:tc>
        <w:tc>
          <w:tcPr>
            <w:tcW w:w="0" w:type="auto"/>
            <w:tcBorders>
              <w:top w:val="nil"/>
              <w:left w:val="nil"/>
              <w:bottom w:val="single" w:sz="8" w:space="0" w:color="6AA84F"/>
              <w:right w:val="single" w:sz="8" w:space="0" w:color="6AA84F"/>
            </w:tcBorders>
            <w:hideMark/>
          </w:tcPr>
          <w:p w14:paraId="12B8EED7" w14:textId="77777777" w:rsidR="00C00B1E" w:rsidRDefault="00C00B1E">
            <w:pPr>
              <w:spacing w:after="160"/>
              <w:cnfStyle w:val="000000000000" w:firstRow="0" w:lastRow="0" w:firstColumn="0" w:lastColumn="0" w:oddVBand="0" w:evenVBand="0" w:oddHBand="0" w:evenHBand="0" w:firstRowFirstColumn="0" w:firstRowLastColumn="0" w:lastRowFirstColumn="0" w:lastRowLastColumn="0"/>
            </w:pPr>
            <w:r>
              <w:t>For noting and continued oversight</w:t>
            </w:r>
          </w:p>
        </w:tc>
      </w:tr>
      <w:tr w:rsidR="00C00B1E" w14:paraId="09E90C3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6AA84F"/>
              <w:bottom w:val="single" w:sz="8" w:space="0" w:color="6AA84F"/>
              <w:right w:val="single" w:sz="8" w:space="0" w:color="6AA84F"/>
            </w:tcBorders>
            <w:shd w:val="clear" w:color="auto" w:fill="D9EAD3"/>
            <w:hideMark/>
          </w:tcPr>
          <w:p w14:paraId="75785DAE" w14:textId="77777777" w:rsidR="00C00B1E" w:rsidRDefault="00C00B1E">
            <w:pPr>
              <w:spacing w:after="160"/>
            </w:pPr>
            <w:r>
              <w:rPr>
                <w:color w:val="000000"/>
              </w:rPr>
              <w:t>Vulnerability and reasonable adjustment handling</w:t>
            </w:r>
          </w:p>
        </w:tc>
        <w:tc>
          <w:tcPr>
            <w:tcW w:w="0" w:type="auto"/>
            <w:tcBorders>
              <w:top w:val="nil"/>
              <w:left w:val="nil"/>
              <w:bottom w:val="single" w:sz="8" w:space="0" w:color="6AA84F"/>
              <w:right w:val="single" w:sz="8" w:space="0" w:color="6AA84F"/>
            </w:tcBorders>
            <w:shd w:val="clear" w:color="auto" w:fill="D9EAD3"/>
            <w:hideMark/>
          </w:tcPr>
          <w:p w14:paraId="25AEE27C" w14:textId="77777777" w:rsidR="00C00B1E" w:rsidRDefault="00C00B1E">
            <w:pPr>
              <w:spacing w:after="160"/>
              <w:cnfStyle w:val="000000100000" w:firstRow="0" w:lastRow="0" w:firstColumn="0" w:lastColumn="0" w:oddVBand="0" w:evenVBand="0" w:oddHBand="1" w:evenHBand="0" w:firstRowFirstColumn="0" w:firstRowLastColumn="0" w:lastRowFirstColumn="0" w:lastRowLastColumn="0"/>
            </w:pPr>
            <w:r>
              <w:rPr>
                <w:color w:val="000000"/>
              </w:rPr>
              <w:t>Risk of distress, escalation and challenge where vulnerability is not recognised before enforcement, access or repair decisions.</w:t>
            </w:r>
          </w:p>
        </w:tc>
        <w:tc>
          <w:tcPr>
            <w:tcW w:w="0" w:type="auto"/>
            <w:tcBorders>
              <w:top w:val="nil"/>
              <w:left w:val="nil"/>
              <w:bottom w:val="single" w:sz="8" w:space="0" w:color="6AA84F"/>
              <w:right w:val="single" w:sz="8" w:space="0" w:color="6AA84F"/>
            </w:tcBorders>
            <w:shd w:val="clear" w:color="auto" w:fill="D9EAD3"/>
            <w:hideMark/>
          </w:tcPr>
          <w:p w14:paraId="413375B4" w14:textId="77777777" w:rsidR="00C00B1E" w:rsidRDefault="00C00B1E">
            <w:pPr>
              <w:spacing w:after="160"/>
              <w:cnfStyle w:val="000000100000" w:firstRow="0" w:lastRow="0" w:firstColumn="0" w:lastColumn="0" w:oddVBand="0" w:evenVBand="0" w:oddHBand="1" w:evenHBand="0" w:firstRowFirstColumn="0" w:firstRowLastColumn="0" w:lastRowFirstColumn="0" w:lastRowLastColumn="0"/>
            </w:pPr>
            <w:r>
              <w:rPr>
                <w:color w:val="000000"/>
              </w:rPr>
              <w:t>Learning identified from gas, repairs, allocations and tenancy cases.</w:t>
            </w:r>
          </w:p>
        </w:tc>
        <w:tc>
          <w:tcPr>
            <w:tcW w:w="0" w:type="auto"/>
            <w:tcBorders>
              <w:top w:val="nil"/>
              <w:left w:val="nil"/>
              <w:bottom w:val="single" w:sz="8" w:space="0" w:color="6AA84F"/>
              <w:right w:val="single" w:sz="8" w:space="0" w:color="6AA84F"/>
            </w:tcBorders>
            <w:shd w:val="clear" w:color="auto" w:fill="D9EAD3"/>
            <w:hideMark/>
          </w:tcPr>
          <w:p w14:paraId="6E375F3E" w14:textId="77777777" w:rsidR="00C00B1E" w:rsidRDefault="00C00B1E">
            <w:pPr>
              <w:spacing w:after="160"/>
              <w:cnfStyle w:val="000000100000" w:firstRow="0" w:lastRow="0" w:firstColumn="0" w:lastColumn="0" w:oddVBand="0" w:evenVBand="0" w:oddHBand="1" w:evenHBand="0" w:firstRowFirstColumn="0" w:firstRowLastColumn="0" w:lastRowFirstColumn="0" w:lastRowLastColumn="0"/>
            </w:pPr>
            <w:r>
              <w:rPr>
                <w:color w:val="000000"/>
              </w:rPr>
              <w:t>Embed vulnerability prompts, quality assurance checks and staff training on reasonable adjustments and safeguarding.</w:t>
            </w:r>
          </w:p>
        </w:tc>
        <w:tc>
          <w:tcPr>
            <w:tcW w:w="0" w:type="auto"/>
            <w:tcBorders>
              <w:top w:val="nil"/>
              <w:left w:val="nil"/>
              <w:bottom w:val="single" w:sz="8" w:space="0" w:color="6AA84F"/>
              <w:right w:val="single" w:sz="8" w:space="0" w:color="6AA84F"/>
            </w:tcBorders>
            <w:shd w:val="clear" w:color="auto" w:fill="D9EAD3"/>
            <w:hideMark/>
          </w:tcPr>
          <w:p w14:paraId="5D4DBA18" w14:textId="77777777" w:rsidR="00C00B1E" w:rsidRDefault="00C00B1E">
            <w:pPr>
              <w:spacing w:after="160"/>
              <w:cnfStyle w:val="000000100000" w:firstRow="0" w:lastRow="0" w:firstColumn="0" w:lastColumn="0" w:oddVBand="0" w:evenVBand="0" w:oddHBand="1" w:evenHBand="0" w:firstRowFirstColumn="0" w:firstRowLastColumn="0" w:lastRowFirstColumn="0" w:lastRowLastColumn="0"/>
            </w:pPr>
            <w:r>
              <w:rPr>
                <w:color w:val="000000"/>
              </w:rPr>
              <w:t>For noting</w:t>
            </w:r>
          </w:p>
        </w:tc>
      </w:tr>
    </w:tbl>
    <w:p w14:paraId="1605BFBD" w14:textId="77777777" w:rsidR="00D043C7" w:rsidRDefault="00340806" w:rsidP="00340806">
      <w:pPr>
        <w:pStyle w:val="Heading1"/>
        <w:rPr>
          <w:rFonts w:cstheme="minorBidi"/>
        </w:rPr>
      </w:pPr>
      <w:r w:rsidRPr="00340806">
        <w:rPr>
          <w:rFonts w:cstheme="minorBidi"/>
        </w:rPr>
        <w:t>9. Governance and Review</w:t>
      </w:r>
    </w:p>
    <w:p w14:paraId="74290B68" w14:textId="77777777" w:rsidR="0077088B" w:rsidRDefault="0077088B">
      <w:pPr>
        <w:rPr>
          <w:lang w:eastAsia="en-GB"/>
        </w:rPr>
      </w:pPr>
      <w:r>
        <w:t>The Complaints and Data Manager will coordinate quarterly reporting, supported by service managers and the Housing Management Team. Progress will be reviewed through routine management oversight before being presented to Housing Cabinet Committee. The dashboard will also inform the annual complaints performance and service improvement report, providing evidence that complaint learning is being acted upon and that further action is taken where improvement is not yet embedded.</w:t>
      </w:r>
    </w:p>
    <w:p w14:paraId="347D711F" w14:textId="77777777" w:rsidR="00D043C7" w:rsidRDefault="00D043C7"/>
    <w:sectPr w:rsidR="00D043C7" w:rsidSect="00BC6B8E">
      <w:pgSz w:w="16838" w:h="11906"/>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0A0"/>
    <w:rsid w:val="000010CC"/>
    <w:rsid w:val="00005D90"/>
    <w:rsid w:val="00086FB3"/>
    <w:rsid w:val="000B4829"/>
    <w:rsid w:val="00287A69"/>
    <w:rsid w:val="002E230D"/>
    <w:rsid w:val="00310740"/>
    <w:rsid w:val="00340806"/>
    <w:rsid w:val="00356B25"/>
    <w:rsid w:val="00372F30"/>
    <w:rsid w:val="003945C4"/>
    <w:rsid w:val="003B70A0"/>
    <w:rsid w:val="003D4854"/>
    <w:rsid w:val="0042284F"/>
    <w:rsid w:val="0052376F"/>
    <w:rsid w:val="00612B08"/>
    <w:rsid w:val="006A7B4A"/>
    <w:rsid w:val="00754348"/>
    <w:rsid w:val="0077088B"/>
    <w:rsid w:val="007A0E7D"/>
    <w:rsid w:val="007C41FC"/>
    <w:rsid w:val="00847106"/>
    <w:rsid w:val="009061D4"/>
    <w:rsid w:val="00952FAA"/>
    <w:rsid w:val="00A64485"/>
    <w:rsid w:val="00B30F3F"/>
    <w:rsid w:val="00B91AD8"/>
    <w:rsid w:val="00BB7007"/>
    <w:rsid w:val="00BC6B8E"/>
    <w:rsid w:val="00C00B1E"/>
    <w:rsid w:val="00C25DE3"/>
    <w:rsid w:val="00CA1480"/>
    <w:rsid w:val="00CF3D6D"/>
    <w:rsid w:val="00D043C7"/>
    <w:rsid w:val="00D55F3F"/>
    <w:rsid w:val="00D93948"/>
    <w:rsid w:val="00E22EA2"/>
    <w:rsid w:val="00E94DC7"/>
    <w:rsid w:val="00E97649"/>
    <w:rsid w:val="00EE7D20"/>
    <w:rsid w:val="00F43603"/>
    <w:rsid w:val="00F653D4"/>
    <w:rsid w:val="00F817C6"/>
    <w:rsid w:val="00F941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B9C50"/>
  <w15:chartTrackingRefBased/>
  <w15:docId w15:val="{E6E253B7-D931-4A90-9AD0-A4F1306A7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8" w:lineRule="atLeast"/>
    </w:pPr>
    <w:rPr>
      <w:rFonts w:ascii="Arial" w:hAnsi="Arial" w:cs="Arial"/>
    </w:rPr>
  </w:style>
  <w:style w:type="paragraph" w:styleId="Heading1">
    <w:name w:val="heading 1"/>
    <w:basedOn w:val="Normal"/>
    <w:next w:val="Normal"/>
    <w:link w:val="Heading1Char"/>
    <w:uiPriority w:val="9"/>
    <w:qFormat/>
    <w:rsid w:val="003B70A0"/>
    <w:pPr>
      <w:keepNext/>
      <w:keepLines/>
      <w:spacing w:before="360" w:after="80"/>
      <w:outlineLvl w:val="0"/>
    </w:pPr>
    <w:rPr>
      <w:rFonts w:eastAsiaTheme="majorEastAsia"/>
      <w:b/>
      <w:color w:val="006B3F"/>
      <w:sz w:val="40"/>
      <w:szCs w:val="40"/>
    </w:rPr>
  </w:style>
  <w:style w:type="paragraph" w:styleId="Heading2">
    <w:name w:val="heading 2"/>
    <w:basedOn w:val="Normal"/>
    <w:next w:val="Normal"/>
    <w:link w:val="Heading2Char"/>
    <w:uiPriority w:val="9"/>
    <w:semiHidden/>
    <w:unhideWhenUsed/>
    <w:qFormat/>
    <w:rsid w:val="003B70A0"/>
    <w:pPr>
      <w:keepNext/>
      <w:keepLines/>
      <w:spacing w:before="160" w:after="80"/>
      <w:outlineLvl w:val="1"/>
    </w:pPr>
    <w:rPr>
      <w:rFonts w:eastAsiaTheme="majorEastAsia"/>
      <w:b/>
      <w:color w:val="0F4761"/>
      <w:sz w:val="32"/>
      <w:szCs w:val="32"/>
    </w:rPr>
  </w:style>
  <w:style w:type="paragraph" w:styleId="Heading3">
    <w:name w:val="heading 3"/>
    <w:basedOn w:val="Normal"/>
    <w:next w:val="Normal"/>
    <w:link w:val="Heading3Char"/>
    <w:uiPriority w:val="9"/>
    <w:semiHidden/>
    <w:unhideWhenUsed/>
    <w:qFormat/>
    <w:rsid w:val="003B70A0"/>
    <w:pPr>
      <w:keepNext/>
      <w:keepLines/>
      <w:spacing w:before="160" w:after="80"/>
      <w:outlineLvl w:val="2"/>
    </w:pPr>
    <w:rPr>
      <w:rFonts w:eastAsiaTheme="majorEastAsia"/>
      <w:b/>
      <w:color w:val="0F4761"/>
      <w:sz w:val="28"/>
      <w:szCs w:val="28"/>
    </w:rPr>
  </w:style>
  <w:style w:type="paragraph" w:styleId="Heading4">
    <w:name w:val="heading 4"/>
    <w:basedOn w:val="Normal"/>
    <w:next w:val="Normal"/>
    <w:link w:val="Heading4Char"/>
    <w:uiPriority w:val="9"/>
    <w:semiHidden/>
    <w:unhideWhenUsed/>
    <w:qFormat/>
    <w:rsid w:val="003B70A0"/>
    <w:pPr>
      <w:keepNext/>
      <w:keepLines/>
      <w:spacing w:before="80" w:after="40"/>
      <w:outlineLvl w:val="3"/>
    </w:pPr>
    <w:rPr>
      <w:rFonts w:eastAsiaTheme="majorEastAsia"/>
      <w:b/>
      <w:i/>
      <w:iCs/>
      <w:color w:val="0F4761"/>
    </w:rPr>
  </w:style>
  <w:style w:type="paragraph" w:styleId="Heading5">
    <w:name w:val="heading 5"/>
    <w:basedOn w:val="Normal"/>
    <w:next w:val="Normal"/>
    <w:link w:val="Heading5Char"/>
    <w:uiPriority w:val="9"/>
    <w:semiHidden/>
    <w:unhideWhenUsed/>
    <w:qFormat/>
    <w:rsid w:val="003B70A0"/>
    <w:pPr>
      <w:keepNext/>
      <w:keepLines/>
      <w:spacing w:before="80" w:after="40"/>
      <w:outlineLvl w:val="4"/>
    </w:pPr>
    <w:rPr>
      <w:rFonts w:eastAsiaTheme="majorEastAsia"/>
      <w:b/>
      <w:color w:val="0F4761"/>
    </w:rPr>
  </w:style>
  <w:style w:type="paragraph" w:styleId="Heading6">
    <w:name w:val="heading 6"/>
    <w:basedOn w:val="Normal"/>
    <w:next w:val="Normal"/>
    <w:link w:val="Heading6Char"/>
    <w:uiPriority w:val="9"/>
    <w:semiHidden/>
    <w:unhideWhenUsed/>
    <w:qFormat/>
    <w:rsid w:val="003B70A0"/>
    <w:pPr>
      <w:keepNext/>
      <w:keepLines/>
      <w:spacing w:before="40" w:after="0"/>
      <w:outlineLvl w:val="5"/>
    </w:pPr>
    <w:rPr>
      <w:rFonts w:eastAsiaTheme="majorEastAsia"/>
      <w:b/>
      <w:i/>
      <w:iCs/>
      <w:color w:val="595959"/>
    </w:rPr>
  </w:style>
  <w:style w:type="paragraph" w:styleId="Heading7">
    <w:name w:val="heading 7"/>
    <w:basedOn w:val="Normal"/>
    <w:next w:val="Normal"/>
    <w:link w:val="Heading7Char"/>
    <w:uiPriority w:val="9"/>
    <w:semiHidden/>
    <w:unhideWhenUsed/>
    <w:qFormat/>
    <w:rsid w:val="003B70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70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70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70A0"/>
    <w:rPr>
      <w:rFonts w:ascii="Arial" w:eastAsiaTheme="majorEastAsia" w:hAnsi="Arial" w:cs="Arial"/>
      <w:b/>
      <w:color w:val="006B3F"/>
      <w:sz w:val="40"/>
      <w:szCs w:val="40"/>
    </w:rPr>
  </w:style>
  <w:style w:type="character" w:customStyle="1" w:styleId="Heading2Char">
    <w:name w:val="Heading 2 Char"/>
    <w:basedOn w:val="DefaultParagraphFont"/>
    <w:link w:val="Heading2"/>
    <w:uiPriority w:val="9"/>
    <w:semiHidden/>
    <w:rsid w:val="003B70A0"/>
    <w:rPr>
      <w:rFonts w:ascii="Arial" w:eastAsiaTheme="majorEastAsia" w:hAnsi="Arial" w:cs="Arial"/>
      <w:b/>
      <w:color w:val="0F4761"/>
      <w:sz w:val="32"/>
      <w:szCs w:val="32"/>
    </w:rPr>
  </w:style>
  <w:style w:type="character" w:customStyle="1" w:styleId="Heading3Char">
    <w:name w:val="Heading 3 Char"/>
    <w:basedOn w:val="DefaultParagraphFont"/>
    <w:link w:val="Heading3"/>
    <w:uiPriority w:val="9"/>
    <w:semiHidden/>
    <w:rsid w:val="003B70A0"/>
    <w:rPr>
      <w:rFonts w:ascii="Arial" w:eastAsiaTheme="majorEastAsia" w:hAnsi="Arial" w:cs="Arial"/>
      <w:b/>
      <w:color w:val="0F4761"/>
      <w:sz w:val="28"/>
      <w:szCs w:val="28"/>
    </w:rPr>
  </w:style>
  <w:style w:type="character" w:customStyle="1" w:styleId="Heading4Char">
    <w:name w:val="Heading 4 Char"/>
    <w:basedOn w:val="DefaultParagraphFont"/>
    <w:link w:val="Heading4"/>
    <w:uiPriority w:val="9"/>
    <w:semiHidden/>
    <w:rsid w:val="003B70A0"/>
    <w:rPr>
      <w:rFonts w:ascii="Arial" w:eastAsiaTheme="majorEastAsia" w:hAnsi="Arial" w:cs="Arial"/>
      <w:b/>
      <w:i/>
      <w:iCs/>
      <w:color w:val="0F4761"/>
    </w:rPr>
  </w:style>
  <w:style w:type="character" w:customStyle="1" w:styleId="Heading5Char">
    <w:name w:val="Heading 5 Char"/>
    <w:basedOn w:val="DefaultParagraphFont"/>
    <w:link w:val="Heading5"/>
    <w:uiPriority w:val="9"/>
    <w:semiHidden/>
    <w:rsid w:val="003B70A0"/>
    <w:rPr>
      <w:rFonts w:ascii="Arial" w:eastAsiaTheme="majorEastAsia" w:hAnsi="Arial" w:cs="Arial"/>
      <w:b/>
      <w:color w:val="0F4761"/>
    </w:rPr>
  </w:style>
  <w:style w:type="character" w:customStyle="1" w:styleId="Heading6Char">
    <w:name w:val="Heading 6 Char"/>
    <w:basedOn w:val="DefaultParagraphFont"/>
    <w:link w:val="Heading6"/>
    <w:uiPriority w:val="9"/>
    <w:semiHidden/>
    <w:rsid w:val="003B70A0"/>
    <w:rPr>
      <w:rFonts w:ascii="Arial" w:eastAsiaTheme="majorEastAsia" w:hAnsi="Arial" w:cs="Arial"/>
      <w:b/>
      <w:i/>
      <w:iCs/>
      <w:color w:val="595959"/>
    </w:rPr>
  </w:style>
  <w:style w:type="character" w:customStyle="1" w:styleId="Heading7Char">
    <w:name w:val="Heading 7 Char"/>
    <w:basedOn w:val="DefaultParagraphFont"/>
    <w:link w:val="Heading7"/>
    <w:uiPriority w:val="9"/>
    <w:semiHidden/>
    <w:rsid w:val="003B70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70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70A0"/>
    <w:rPr>
      <w:rFonts w:eastAsiaTheme="majorEastAsia" w:cstheme="majorBidi"/>
      <w:color w:val="272727" w:themeColor="text1" w:themeTint="D8"/>
    </w:rPr>
  </w:style>
  <w:style w:type="paragraph" w:styleId="Title">
    <w:name w:val="Title"/>
    <w:basedOn w:val="Normal"/>
    <w:next w:val="Normal"/>
    <w:link w:val="TitleChar"/>
    <w:uiPriority w:val="10"/>
    <w:qFormat/>
    <w:rsid w:val="003B70A0"/>
    <w:pPr>
      <w:spacing w:after="80" w:line="240" w:lineRule="atLeast"/>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3B70A0"/>
    <w:rPr>
      <w:rFonts w:ascii="Arial" w:eastAsiaTheme="majorEastAsia" w:hAnsi="Arial" w:cs="Arial"/>
      <w:spacing w:val="-10"/>
      <w:kern w:val="28"/>
      <w:sz w:val="56"/>
      <w:szCs w:val="56"/>
    </w:rPr>
  </w:style>
  <w:style w:type="paragraph" w:styleId="Subtitle">
    <w:name w:val="Subtitle"/>
    <w:basedOn w:val="Normal"/>
    <w:next w:val="Normal"/>
    <w:link w:val="SubtitleChar"/>
    <w:uiPriority w:val="11"/>
    <w:qFormat/>
    <w:rsid w:val="003B70A0"/>
    <w:pPr>
      <w:numPr>
        <w:ilvl w:val="1"/>
      </w:numPr>
    </w:pPr>
    <w:rPr>
      <w:rFonts w:eastAsiaTheme="majorEastAsia"/>
      <w:color w:val="595959"/>
      <w:spacing w:val="15"/>
      <w:sz w:val="28"/>
      <w:szCs w:val="28"/>
    </w:rPr>
  </w:style>
  <w:style w:type="character" w:customStyle="1" w:styleId="SubtitleChar">
    <w:name w:val="Subtitle Char"/>
    <w:basedOn w:val="DefaultParagraphFont"/>
    <w:link w:val="Subtitle"/>
    <w:uiPriority w:val="11"/>
    <w:rsid w:val="003B70A0"/>
    <w:rPr>
      <w:rFonts w:ascii="Arial" w:eastAsiaTheme="majorEastAsia" w:hAnsi="Arial" w:cs="Arial"/>
      <w:color w:val="595959"/>
      <w:spacing w:val="15"/>
      <w:sz w:val="28"/>
      <w:szCs w:val="28"/>
    </w:rPr>
  </w:style>
  <w:style w:type="paragraph" w:styleId="Quote">
    <w:name w:val="Quote"/>
    <w:basedOn w:val="Normal"/>
    <w:next w:val="Normal"/>
    <w:link w:val="QuoteChar"/>
    <w:uiPriority w:val="29"/>
    <w:qFormat/>
    <w:rsid w:val="003B70A0"/>
    <w:pPr>
      <w:spacing w:before="160"/>
      <w:jc w:val="center"/>
    </w:pPr>
    <w:rPr>
      <w:i/>
      <w:iCs/>
      <w:color w:val="404040" w:themeColor="text1" w:themeTint="BF"/>
    </w:rPr>
  </w:style>
  <w:style w:type="character" w:customStyle="1" w:styleId="QuoteChar">
    <w:name w:val="Quote Char"/>
    <w:basedOn w:val="DefaultParagraphFont"/>
    <w:link w:val="Quote"/>
    <w:uiPriority w:val="29"/>
    <w:rsid w:val="003B70A0"/>
    <w:rPr>
      <w:i/>
      <w:iCs/>
      <w:color w:val="404040" w:themeColor="text1" w:themeTint="BF"/>
    </w:rPr>
  </w:style>
  <w:style w:type="paragraph" w:styleId="ListParagraph">
    <w:name w:val="List Paragraph"/>
    <w:basedOn w:val="Normal"/>
    <w:uiPriority w:val="34"/>
    <w:qFormat/>
    <w:rsid w:val="003B70A0"/>
    <w:pPr>
      <w:ind w:left="720"/>
      <w:contextualSpacing/>
    </w:pPr>
  </w:style>
  <w:style w:type="character" w:styleId="IntenseEmphasis">
    <w:name w:val="Intense Emphasis"/>
    <w:basedOn w:val="DefaultParagraphFont"/>
    <w:uiPriority w:val="21"/>
    <w:qFormat/>
    <w:rsid w:val="003B70A0"/>
    <w:rPr>
      <w:i/>
      <w:iCs/>
      <w:color w:val="0F4761" w:themeColor="accent1" w:themeShade="BF"/>
    </w:rPr>
  </w:style>
  <w:style w:type="paragraph" w:styleId="IntenseQuote">
    <w:name w:val="Intense Quote"/>
    <w:basedOn w:val="Normal"/>
    <w:next w:val="Normal"/>
    <w:link w:val="IntenseQuoteChar"/>
    <w:uiPriority w:val="30"/>
    <w:qFormat/>
    <w:rsid w:val="003B70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70A0"/>
    <w:rPr>
      <w:i/>
      <w:iCs/>
      <w:color w:val="0F4761" w:themeColor="accent1" w:themeShade="BF"/>
    </w:rPr>
  </w:style>
  <w:style w:type="character" w:styleId="IntenseReference">
    <w:name w:val="Intense Reference"/>
    <w:basedOn w:val="DefaultParagraphFont"/>
    <w:uiPriority w:val="32"/>
    <w:qFormat/>
    <w:rsid w:val="003B70A0"/>
    <w:rPr>
      <w:b/>
      <w:bCs/>
      <w:smallCaps/>
      <w:color w:val="0F4761" w:themeColor="accent1" w:themeShade="BF"/>
      <w:spacing w:val="5"/>
    </w:rPr>
  </w:style>
  <w:style w:type="character" w:styleId="BookTitle">
    <w:name w:val="Book Title"/>
    <w:basedOn w:val="DefaultParagraphFont"/>
    <w:uiPriority w:val="33"/>
    <w:qFormat/>
    <w:rsid w:val="003B70A0"/>
    <w:rPr>
      <w:b/>
      <w:bCs/>
      <w:i/>
      <w:iCs/>
      <w:spacing w:val="5"/>
    </w:rPr>
  </w:style>
  <w:style w:type="paragraph" w:styleId="Caption">
    <w:name w:val="caption"/>
    <w:basedOn w:val="Normal"/>
    <w:next w:val="Normal"/>
    <w:uiPriority w:val="35"/>
    <w:semiHidden/>
    <w:unhideWhenUsed/>
    <w:qFormat/>
    <w:rsid w:val="003B70A0"/>
    <w:pPr>
      <w:spacing w:after="200" w:line="240" w:lineRule="auto"/>
    </w:pPr>
    <w:rPr>
      <w:i/>
      <w:iCs/>
      <w:color w:val="0E2841" w:themeColor="text2"/>
      <w:sz w:val="18"/>
      <w:szCs w:val="18"/>
    </w:rPr>
  </w:style>
  <w:style w:type="character" w:styleId="Emphasis">
    <w:name w:val="Emphasis"/>
    <w:basedOn w:val="DefaultParagraphFont"/>
    <w:uiPriority w:val="20"/>
    <w:qFormat/>
    <w:rsid w:val="003B70A0"/>
    <w:rPr>
      <w:i/>
      <w:iCs/>
    </w:rPr>
  </w:style>
  <w:style w:type="paragraph" w:styleId="NoSpacing">
    <w:name w:val="No Spacing"/>
    <w:uiPriority w:val="1"/>
    <w:qFormat/>
    <w:rsid w:val="003B70A0"/>
    <w:pPr>
      <w:spacing w:after="0" w:line="240" w:lineRule="auto"/>
    </w:pPr>
  </w:style>
  <w:style w:type="character" w:styleId="Strong">
    <w:name w:val="Strong"/>
    <w:basedOn w:val="DefaultParagraphFont"/>
    <w:uiPriority w:val="22"/>
    <w:qFormat/>
    <w:rsid w:val="003B70A0"/>
    <w:rPr>
      <w:b/>
      <w:bCs/>
    </w:rPr>
  </w:style>
  <w:style w:type="character" w:styleId="SubtleEmphasis">
    <w:name w:val="Subtle Emphasis"/>
    <w:basedOn w:val="DefaultParagraphFont"/>
    <w:uiPriority w:val="19"/>
    <w:qFormat/>
    <w:rsid w:val="003B70A0"/>
    <w:rPr>
      <w:i/>
      <w:iCs/>
      <w:color w:val="404040" w:themeColor="text1" w:themeTint="BF"/>
    </w:rPr>
  </w:style>
  <w:style w:type="character" w:styleId="SubtleReference">
    <w:name w:val="Subtle Reference"/>
    <w:basedOn w:val="DefaultParagraphFont"/>
    <w:uiPriority w:val="31"/>
    <w:qFormat/>
    <w:rsid w:val="003B70A0"/>
    <w:rPr>
      <w:smallCaps/>
      <w:color w:val="5A5A5A" w:themeColor="text1" w:themeTint="A5"/>
    </w:rPr>
  </w:style>
  <w:style w:type="paragraph" w:styleId="TOCHeading">
    <w:name w:val="TOC Heading"/>
    <w:basedOn w:val="Heading1"/>
    <w:next w:val="Normal"/>
    <w:uiPriority w:val="39"/>
    <w:semiHidden/>
    <w:unhideWhenUsed/>
    <w:qFormat/>
    <w:rsid w:val="003B70A0"/>
    <w:pPr>
      <w:spacing w:before="240" w:after="0"/>
      <w:outlineLvl w:val="9"/>
    </w:pPr>
    <w:rPr>
      <w:sz w:val="32"/>
      <w:szCs w:val="32"/>
    </w:rPr>
  </w:style>
  <w:style w:type="paragraph" w:styleId="NormalWeb">
    <w:name w:val="Normal (Web)"/>
    <w:basedOn w:val="Normal"/>
    <w:uiPriority w:val="99"/>
    <w:semiHidden/>
    <w:unhideWhenUsed/>
    <w:rsid w:val="003B70A0"/>
    <w:pPr>
      <w:spacing w:before="100" w:beforeAutospacing="1" w:after="100" w:afterAutospacing="1" w:line="240" w:lineRule="auto"/>
    </w:pPr>
    <w:rPr>
      <w:rFonts w:ascii="Times New Roman" w:hAnsi="Times New Roman" w:cs="Times New Roman"/>
      <w:lang w:eastAsia="en-GB"/>
    </w:rPr>
  </w:style>
  <w:style w:type="table" w:styleId="GridTable4-Accent1">
    <w:name w:val="Grid Table 4 Accent 1"/>
    <w:basedOn w:val="TableNormal"/>
    <w:uiPriority w:val="49"/>
    <w:rsid w:val="0077088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D79B802B62CE4F8B934C6467E56005" ma:contentTypeVersion="3" ma:contentTypeDescription="Create a new document." ma:contentTypeScope="" ma:versionID="7727a26c9aab9b0e8b97901ef08c47c3">
  <xsd:schema xmlns:xsd="http://www.w3.org/2001/XMLSchema" xmlns:xs="http://www.w3.org/2001/XMLSchema" xmlns:p="http://schemas.microsoft.com/office/2006/metadata/properties" xmlns:ns2="d5f380c5-e6b7-430c-b0dc-ef9970fd79ee" targetNamespace="http://schemas.microsoft.com/office/2006/metadata/properties" ma:root="true" ma:fieldsID="831baaec2437bba5192bf038bf9c5b6a" ns2:_="">
    <xsd:import namespace="d5f380c5-e6b7-430c-b0dc-ef9970fd79e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f380c5-e6b7-430c-b0dc-ef9970fd79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09D7CC-45E7-46E4-8891-D3C9733E6881}">
  <ds:schemaRefs>
    <ds:schemaRef ds:uri="http://schemas.microsoft.com/sharepoint/v3/contenttype/forms"/>
  </ds:schemaRefs>
</ds:datastoreItem>
</file>

<file path=customXml/itemProps2.xml><?xml version="1.0" encoding="utf-8"?>
<ds:datastoreItem xmlns:ds="http://schemas.openxmlformats.org/officeDocument/2006/customXml" ds:itemID="{93262CAA-3AF1-4D42-8387-52E0E3C00DD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0E9C32-4961-40D8-84DD-2526C84F82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f380c5-e6b7-430c-b0dc-ef9970fd7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2732</Words>
  <Characters>16447</Characters>
  <Application>Microsoft Office Word</Application>
  <DocSecurity>0</DocSecurity>
  <Lines>401</Lines>
  <Paragraphs>155</Paragraphs>
  <ScaleCrop>false</ScaleCrop>
  <Company/>
  <LinksUpToDate>false</LinksUpToDate>
  <CharactersWithSpaces>19024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Arthur</dc:creator>
  <cp:keywords/>
  <dc:description/>
  <cp:lastModifiedBy>Emma Mulcrow</cp:lastModifiedBy>
  <cp:revision>2</cp:revision>
  <dcterms:created xsi:type="dcterms:W3CDTF">2026-09-16T15:51:00Z</dcterms:created>
  <dcterms:modified xsi:type="dcterms:W3CDTF">2026-09-16T15:51:00Z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0x01010020D79B802B62CE4F8B934C6467E56005</vt:lpwstr>
  </property>
</Properties>
</file>