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6.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7.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8.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9.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20.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1.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22.xml" ContentType="application/vnd.openxmlformats-officedocument.themeOverrid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23.xml" ContentType="application/vnd.openxmlformats-officedocument.themeOverrid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24.xml" ContentType="application/vnd.openxmlformats-officedocument.themeOverrid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25.xml" ContentType="application/vnd.openxmlformats-officedocument.themeOverrid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26.xml" ContentType="application/vnd.openxmlformats-officedocument.themeOverrid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theme/themeOverride27.xml" ContentType="application/vnd.openxmlformats-officedocument.themeOverrid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theme/themeOverride28.xml" ContentType="application/vnd.openxmlformats-officedocument.themeOverrid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29.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30.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31.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32.xml" ContentType="application/vnd.openxmlformats-officedocument.themeOverrid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33.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3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21686" w14:textId="5A0EDC65" w:rsidR="00967211" w:rsidRPr="00967211" w:rsidRDefault="00472136" w:rsidP="00472136">
      <w:pPr>
        <w:pStyle w:val="Heading1"/>
        <w:keepNext/>
        <w:keepLines/>
        <w:widowControl/>
        <w:autoSpaceDE/>
        <w:autoSpaceDN/>
        <w:spacing w:before="240"/>
        <w:ind w:left="0"/>
        <w:rPr>
          <w:rFonts w:eastAsiaTheme="majorEastAsia"/>
          <w:color w:val="365F91" w:themeColor="accent1" w:themeShade="BF"/>
          <w:sz w:val="26"/>
          <w:szCs w:val="26"/>
        </w:rPr>
      </w:pPr>
      <w:r w:rsidRPr="00472136">
        <w:rPr>
          <w:rFonts w:eastAsiaTheme="majorEastAsia"/>
          <w:color w:val="365F91" w:themeColor="accent1" w:themeShade="BF"/>
          <w:sz w:val="32"/>
          <w:szCs w:val="32"/>
        </w:rPr>
        <w:t xml:space="preserve">Gravesham Community Profile </w:t>
      </w:r>
      <w:r>
        <w:rPr>
          <w:rFonts w:eastAsiaTheme="majorEastAsia"/>
          <w:color w:val="365F91" w:themeColor="accent1" w:themeShade="BF"/>
          <w:sz w:val="32"/>
          <w:szCs w:val="32"/>
        </w:rPr>
        <w:br/>
      </w:r>
      <w:r w:rsidR="00967211">
        <w:rPr>
          <w:rFonts w:eastAsiaTheme="majorEastAsia"/>
          <w:color w:val="365F91" w:themeColor="accent1" w:themeShade="BF"/>
          <w:sz w:val="20"/>
          <w:szCs w:val="20"/>
        </w:rPr>
        <w:br/>
      </w:r>
      <w:r w:rsidR="00967211">
        <w:rPr>
          <w:color w:val="365F91" w:themeColor="accent1" w:themeShade="BF"/>
          <w:sz w:val="26"/>
          <w:szCs w:val="26"/>
        </w:rPr>
        <w:t xml:space="preserve">1. </w:t>
      </w:r>
      <w:r w:rsidR="00967211" w:rsidRPr="00967211">
        <w:rPr>
          <w:color w:val="365F91" w:themeColor="accent1" w:themeShade="BF"/>
          <w:sz w:val="26"/>
          <w:szCs w:val="26"/>
        </w:rPr>
        <w:t>Introduction</w:t>
      </w:r>
    </w:p>
    <w:p w14:paraId="750EDF0C" w14:textId="77777777" w:rsidR="00967211" w:rsidRDefault="00967211" w:rsidP="00967211">
      <w:pPr>
        <w:autoSpaceDE w:val="0"/>
        <w:autoSpaceDN w:val="0"/>
        <w:adjustRightInd w:val="0"/>
        <w:spacing w:after="0" w:line="240" w:lineRule="auto"/>
        <w:rPr>
          <w:rFonts w:ascii="Arial" w:hAnsi="Arial" w:cs="Arial"/>
          <w:color w:val="000000"/>
        </w:rPr>
      </w:pPr>
    </w:p>
    <w:p w14:paraId="31D1A79D" w14:textId="21FE9239" w:rsidR="006255AD" w:rsidRPr="00472136" w:rsidRDefault="00472136" w:rsidP="00967211">
      <w:pPr>
        <w:autoSpaceDE w:val="0"/>
        <w:autoSpaceDN w:val="0"/>
        <w:adjustRightInd w:val="0"/>
        <w:spacing w:after="0" w:line="240" w:lineRule="auto"/>
        <w:rPr>
          <w:rFonts w:ascii="Arial" w:hAnsi="Arial" w:cs="Arial"/>
          <w:color w:val="000000"/>
        </w:rPr>
      </w:pPr>
      <w:r>
        <w:rPr>
          <w:rFonts w:ascii="Arial" w:hAnsi="Arial" w:cs="Arial"/>
          <w:color w:val="000000"/>
        </w:rPr>
        <w:t>To</w:t>
      </w:r>
      <w:r w:rsidR="00C73E52" w:rsidRPr="00472136">
        <w:rPr>
          <w:rFonts w:ascii="Arial" w:hAnsi="Arial" w:cs="Arial"/>
          <w:color w:val="000000"/>
        </w:rPr>
        <w:t xml:space="preserve"> effectively plan and run </w:t>
      </w:r>
      <w:r w:rsidR="001B42DB" w:rsidRPr="00472136">
        <w:rPr>
          <w:rFonts w:ascii="Arial" w:hAnsi="Arial" w:cs="Arial"/>
          <w:color w:val="000000"/>
        </w:rPr>
        <w:t>our</w:t>
      </w:r>
      <w:r w:rsidR="00C73E52" w:rsidRPr="00472136">
        <w:rPr>
          <w:rFonts w:ascii="Arial" w:hAnsi="Arial" w:cs="Arial"/>
          <w:color w:val="000000"/>
        </w:rPr>
        <w:t xml:space="preserve"> services, it is essential the council fully understands the </w:t>
      </w:r>
      <w:r w:rsidR="00FA3441" w:rsidRPr="00472136">
        <w:rPr>
          <w:rFonts w:ascii="Arial" w:hAnsi="Arial" w:cs="Arial"/>
          <w:color w:val="000000"/>
        </w:rPr>
        <w:t>socio-</w:t>
      </w:r>
      <w:r w:rsidR="00C73E52" w:rsidRPr="00472136">
        <w:rPr>
          <w:rFonts w:ascii="Arial" w:hAnsi="Arial" w:cs="Arial"/>
          <w:color w:val="000000"/>
        </w:rPr>
        <w:t xml:space="preserve">demographic needs of </w:t>
      </w:r>
      <w:r w:rsidR="00FA3441" w:rsidRPr="00472136">
        <w:rPr>
          <w:rFonts w:ascii="Arial" w:hAnsi="Arial" w:cs="Arial"/>
          <w:color w:val="000000"/>
        </w:rPr>
        <w:t>the borough</w:t>
      </w:r>
      <w:r w:rsidR="00C73E52" w:rsidRPr="00472136">
        <w:rPr>
          <w:rFonts w:ascii="Arial" w:hAnsi="Arial" w:cs="Arial"/>
          <w:color w:val="000000"/>
        </w:rPr>
        <w:t>.</w:t>
      </w:r>
      <w:r w:rsidR="00501BA1" w:rsidRPr="00472136">
        <w:rPr>
          <w:rFonts w:ascii="Arial" w:hAnsi="Arial" w:cs="Arial"/>
          <w:color w:val="000000"/>
        </w:rPr>
        <w:t xml:space="preserve"> The findings from this Community P</w:t>
      </w:r>
      <w:r w:rsidR="00FA3441" w:rsidRPr="00472136">
        <w:rPr>
          <w:rFonts w:ascii="Arial" w:hAnsi="Arial" w:cs="Arial"/>
          <w:color w:val="000000"/>
        </w:rPr>
        <w:t xml:space="preserve">rofile ultimately </w:t>
      </w:r>
      <w:r w:rsidR="00535CCB" w:rsidRPr="00472136">
        <w:rPr>
          <w:rFonts w:ascii="Arial" w:hAnsi="Arial" w:cs="Arial"/>
          <w:color w:val="000000"/>
        </w:rPr>
        <w:t xml:space="preserve">help us </w:t>
      </w:r>
      <w:r w:rsidR="00FA3441" w:rsidRPr="00472136">
        <w:rPr>
          <w:rFonts w:ascii="Arial" w:hAnsi="Arial" w:cs="Arial"/>
          <w:color w:val="000000"/>
        </w:rPr>
        <w:t xml:space="preserve">establish an evidence base to tailor our corporate priorities </w:t>
      </w:r>
      <w:r w:rsidR="006255AD" w:rsidRPr="00472136">
        <w:rPr>
          <w:rFonts w:ascii="Arial" w:hAnsi="Arial" w:cs="Arial"/>
          <w:color w:val="000000"/>
        </w:rPr>
        <w:t>and better target our resources when designing interventions</w:t>
      </w:r>
      <w:r w:rsidR="00076B2F">
        <w:rPr>
          <w:rFonts w:ascii="Arial" w:hAnsi="Arial" w:cs="Arial"/>
          <w:color w:val="000000"/>
        </w:rPr>
        <w:t xml:space="preserve">, and </w:t>
      </w:r>
      <w:r w:rsidR="00D17425">
        <w:rPr>
          <w:rFonts w:ascii="Arial" w:hAnsi="Arial" w:cs="Arial"/>
          <w:color w:val="000000"/>
        </w:rPr>
        <w:t xml:space="preserve">also </w:t>
      </w:r>
      <w:r w:rsidR="00076B2F">
        <w:rPr>
          <w:rFonts w:ascii="Arial" w:hAnsi="Arial" w:cs="Arial"/>
          <w:color w:val="000000"/>
        </w:rPr>
        <w:t>in our role of community representatives as we lobby for improved services and resources for Gravesham</w:t>
      </w:r>
      <w:r w:rsidR="006255AD" w:rsidRPr="00472136">
        <w:rPr>
          <w:rFonts w:ascii="Arial" w:hAnsi="Arial" w:cs="Arial"/>
          <w:color w:val="000000"/>
        </w:rPr>
        <w:t>.</w:t>
      </w:r>
    </w:p>
    <w:p w14:paraId="5317F22C" w14:textId="77777777" w:rsidR="00FA3441" w:rsidRPr="00472136" w:rsidRDefault="00FA3441" w:rsidP="00501BA1">
      <w:pPr>
        <w:autoSpaceDE w:val="0"/>
        <w:autoSpaceDN w:val="0"/>
        <w:adjustRightInd w:val="0"/>
        <w:spacing w:after="0" w:line="240" w:lineRule="auto"/>
        <w:rPr>
          <w:rFonts w:ascii="Arial" w:hAnsi="Arial" w:cs="Arial"/>
          <w:color w:val="000000"/>
        </w:rPr>
      </w:pPr>
    </w:p>
    <w:p w14:paraId="50425F40" w14:textId="34D0FF66" w:rsidR="00C73E52" w:rsidRPr="00472136" w:rsidRDefault="00501BA1" w:rsidP="00C73E52">
      <w:pPr>
        <w:autoSpaceDE w:val="0"/>
        <w:autoSpaceDN w:val="0"/>
        <w:adjustRightInd w:val="0"/>
        <w:spacing w:after="0" w:line="240" w:lineRule="auto"/>
        <w:rPr>
          <w:rFonts w:ascii="Arial" w:hAnsi="Arial" w:cs="Arial"/>
          <w:color w:val="548DD4" w:themeColor="text2" w:themeTint="99"/>
          <w:sz w:val="24"/>
          <w:szCs w:val="24"/>
        </w:rPr>
      </w:pPr>
      <w:r w:rsidRPr="00472136">
        <w:rPr>
          <w:rFonts w:ascii="Arial" w:hAnsi="Arial" w:cs="Arial"/>
          <w:color w:val="365F91" w:themeColor="accent1" w:themeShade="BF"/>
          <w:sz w:val="24"/>
          <w:szCs w:val="24"/>
        </w:rPr>
        <w:t>What</w:t>
      </w:r>
      <w:r w:rsidR="00C73E52" w:rsidRPr="00472136">
        <w:rPr>
          <w:rFonts w:ascii="Arial" w:hAnsi="Arial" w:cs="Arial"/>
          <w:color w:val="365F91" w:themeColor="accent1" w:themeShade="BF"/>
          <w:sz w:val="24"/>
          <w:szCs w:val="24"/>
        </w:rPr>
        <w:t xml:space="preserve"> is a Community Profile?</w:t>
      </w:r>
      <w:r w:rsidR="00472136">
        <w:rPr>
          <w:rFonts w:ascii="Arial" w:hAnsi="Arial" w:cs="Arial"/>
          <w:color w:val="365F91" w:themeColor="accent1" w:themeShade="BF"/>
          <w:sz w:val="24"/>
          <w:szCs w:val="24"/>
        </w:rPr>
        <w:br/>
      </w:r>
    </w:p>
    <w:p w14:paraId="4B35E3DC" w14:textId="77777777" w:rsidR="002B6EEF" w:rsidRPr="00472136" w:rsidRDefault="008A04F8" w:rsidP="002B6EEF">
      <w:pPr>
        <w:autoSpaceDE w:val="0"/>
        <w:autoSpaceDN w:val="0"/>
        <w:adjustRightInd w:val="0"/>
        <w:spacing w:after="0" w:line="240" w:lineRule="auto"/>
        <w:rPr>
          <w:rFonts w:ascii="Arial" w:hAnsi="Arial" w:cs="Arial"/>
          <w:color w:val="000000"/>
        </w:rPr>
      </w:pPr>
      <w:r w:rsidRPr="00472136">
        <w:rPr>
          <w:rFonts w:ascii="Arial" w:hAnsi="Arial" w:cs="Arial"/>
          <w:color w:val="000000"/>
        </w:rPr>
        <w:t>For Gravesham Borough Council,</w:t>
      </w:r>
      <w:r w:rsidR="00EA45BC" w:rsidRPr="00472136">
        <w:rPr>
          <w:rFonts w:ascii="Arial" w:hAnsi="Arial" w:cs="Arial"/>
          <w:color w:val="000000"/>
        </w:rPr>
        <w:t xml:space="preserve"> the Community Profile acts as a key marker in our Equalities agenda. With a Corporate Plan that commits us to “</w:t>
      </w:r>
      <w:r w:rsidR="001B42DB" w:rsidRPr="00472136">
        <w:rPr>
          <w:rFonts w:ascii="Arial" w:hAnsi="Arial" w:cs="Arial"/>
          <w:color w:val="000000"/>
        </w:rPr>
        <w:t>strengthen Gravesham’s social fabric</w:t>
      </w:r>
      <w:r w:rsidR="00EA45BC" w:rsidRPr="00472136">
        <w:rPr>
          <w:rFonts w:ascii="Arial" w:hAnsi="Arial" w:cs="Arial"/>
          <w:color w:val="000000"/>
        </w:rPr>
        <w:t xml:space="preserve">”, undertaking such a study helps </w:t>
      </w:r>
      <w:r w:rsidR="008840E0" w:rsidRPr="00472136">
        <w:rPr>
          <w:rFonts w:ascii="Arial" w:hAnsi="Arial" w:cs="Arial"/>
          <w:color w:val="000000"/>
        </w:rPr>
        <w:t>i</w:t>
      </w:r>
      <w:r w:rsidR="00EA45BC" w:rsidRPr="00472136">
        <w:rPr>
          <w:rFonts w:ascii="Arial" w:hAnsi="Arial" w:cs="Arial"/>
          <w:color w:val="000000"/>
        </w:rPr>
        <w:t xml:space="preserve">dentify where inequality exists and to overcome </w:t>
      </w:r>
      <w:r w:rsidR="00782A96" w:rsidRPr="00472136">
        <w:rPr>
          <w:rFonts w:ascii="Arial" w:hAnsi="Arial" w:cs="Arial"/>
          <w:color w:val="000000"/>
        </w:rPr>
        <w:t xml:space="preserve">social </w:t>
      </w:r>
      <w:r w:rsidR="00EA45BC" w:rsidRPr="00472136">
        <w:rPr>
          <w:rFonts w:ascii="Arial" w:hAnsi="Arial" w:cs="Arial"/>
          <w:color w:val="000000"/>
        </w:rPr>
        <w:t xml:space="preserve">challenges to: </w:t>
      </w:r>
    </w:p>
    <w:p w14:paraId="255497E0" w14:textId="77777777" w:rsidR="002B6EEF" w:rsidRPr="00472136" w:rsidRDefault="00EA45BC"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stop unlawful discrimination</w:t>
      </w:r>
      <w:r w:rsidR="00ED1005" w:rsidRPr="00472136">
        <w:rPr>
          <w:rFonts w:ascii="Arial" w:hAnsi="Arial" w:cs="Arial"/>
          <w:color w:val="000000"/>
        </w:rPr>
        <w:t>;</w:t>
      </w:r>
    </w:p>
    <w:p w14:paraId="0FDED483" w14:textId="77777777" w:rsidR="002B6EEF" w:rsidRPr="00472136" w:rsidRDefault="00EA45BC"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improve equal opportunities</w:t>
      </w:r>
      <w:r w:rsidR="00ED1005" w:rsidRPr="00472136">
        <w:rPr>
          <w:rFonts w:ascii="Arial" w:hAnsi="Arial" w:cs="Arial"/>
          <w:color w:val="000000"/>
        </w:rPr>
        <w:t>;</w:t>
      </w:r>
      <w:r w:rsidRPr="00472136">
        <w:rPr>
          <w:rFonts w:ascii="Arial" w:hAnsi="Arial" w:cs="Arial"/>
          <w:color w:val="000000"/>
        </w:rPr>
        <w:t xml:space="preserve"> and</w:t>
      </w:r>
    </w:p>
    <w:p w14:paraId="54929628" w14:textId="70EEAFE5" w:rsidR="00EA45BC" w:rsidRPr="00472136" w:rsidRDefault="00EA45BC"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encourage good relationships.</w:t>
      </w:r>
    </w:p>
    <w:p w14:paraId="6A3D4C4E" w14:textId="77777777" w:rsidR="002B6EEF" w:rsidRPr="00472136" w:rsidRDefault="002B6EEF" w:rsidP="00C73E52">
      <w:pPr>
        <w:autoSpaceDE w:val="0"/>
        <w:autoSpaceDN w:val="0"/>
        <w:adjustRightInd w:val="0"/>
        <w:spacing w:after="0" w:line="240" w:lineRule="auto"/>
        <w:rPr>
          <w:rFonts w:ascii="Arial" w:hAnsi="Arial" w:cs="Arial"/>
          <w:color w:val="000000"/>
        </w:rPr>
      </w:pPr>
    </w:p>
    <w:p w14:paraId="169757A6" w14:textId="705727F7" w:rsidR="00C73E52" w:rsidRPr="00472136" w:rsidRDefault="00AE2240" w:rsidP="00C73E52">
      <w:pPr>
        <w:autoSpaceDE w:val="0"/>
        <w:autoSpaceDN w:val="0"/>
        <w:adjustRightInd w:val="0"/>
        <w:spacing w:after="0" w:line="240" w:lineRule="auto"/>
        <w:rPr>
          <w:rFonts w:ascii="Arial" w:hAnsi="Arial" w:cs="Arial"/>
          <w:color w:val="000000"/>
        </w:rPr>
      </w:pPr>
      <w:r w:rsidRPr="00472136">
        <w:rPr>
          <w:rFonts w:ascii="Arial" w:hAnsi="Arial" w:cs="Arial"/>
          <w:color w:val="000000"/>
        </w:rPr>
        <w:t xml:space="preserve">More broadly, </w:t>
      </w:r>
      <w:r w:rsidR="006255AD" w:rsidRPr="00472136">
        <w:rPr>
          <w:rFonts w:ascii="Arial" w:hAnsi="Arial" w:cs="Arial"/>
          <w:color w:val="000000"/>
        </w:rPr>
        <w:t>a</w:t>
      </w:r>
      <w:r w:rsidR="00525EC6" w:rsidRPr="00472136">
        <w:rPr>
          <w:rFonts w:ascii="Arial" w:hAnsi="Arial" w:cs="Arial"/>
          <w:color w:val="000000"/>
        </w:rPr>
        <w:t xml:space="preserve"> Community Profile delivers in a number of areas</w:t>
      </w:r>
      <w:r w:rsidR="00C73E52" w:rsidRPr="00472136">
        <w:rPr>
          <w:rFonts w:ascii="Arial" w:hAnsi="Arial" w:cs="Arial"/>
          <w:color w:val="000000"/>
        </w:rPr>
        <w:t>:</w:t>
      </w:r>
    </w:p>
    <w:p w14:paraId="61855D01" w14:textId="77777777" w:rsidR="002B6EEF" w:rsidRPr="00472136" w:rsidRDefault="00C73E52"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makes publicly available a summary of data and</w:t>
      </w:r>
      <w:r w:rsidR="00525EC6" w:rsidRPr="00472136">
        <w:rPr>
          <w:rFonts w:ascii="Arial" w:hAnsi="Arial" w:cs="Arial"/>
          <w:color w:val="000000"/>
        </w:rPr>
        <w:t xml:space="preserve"> </w:t>
      </w:r>
      <w:r w:rsidRPr="00472136">
        <w:rPr>
          <w:rFonts w:ascii="Arial" w:hAnsi="Arial" w:cs="Arial"/>
          <w:color w:val="000000"/>
        </w:rPr>
        <w:t xml:space="preserve">information on the quality of life </w:t>
      </w:r>
      <w:r w:rsidR="006255AD" w:rsidRPr="00472136">
        <w:rPr>
          <w:rFonts w:ascii="Arial" w:hAnsi="Arial" w:cs="Arial"/>
          <w:color w:val="000000"/>
        </w:rPr>
        <w:t>for local residents</w:t>
      </w:r>
      <w:r w:rsidRPr="00472136">
        <w:rPr>
          <w:rFonts w:ascii="Arial" w:hAnsi="Arial" w:cs="Arial"/>
          <w:color w:val="000000"/>
        </w:rPr>
        <w:t>;</w:t>
      </w:r>
    </w:p>
    <w:p w14:paraId="57BDB598" w14:textId="77777777" w:rsidR="002B6EEF" w:rsidRPr="00472136" w:rsidRDefault="00C73E52"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helps public s</w:t>
      </w:r>
      <w:r w:rsidR="00525EC6" w:rsidRPr="00472136">
        <w:rPr>
          <w:rFonts w:ascii="Arial" w:hAnsi="Arial" w:cs="Arial"/>
          <w:color w:val="000000"/>
        </w:rPr>
        <w:t xml:space="preserve">ervice providers identify </w:t>
      </w:r>
      <w:r w:rsidR="006255AD" w:rsidRPr="00472136">
        <w:rPr>
          <w:rFonts w:ascii="Arial" w:hAnsi="Arial" w:cs="Arial"/>
          <w:color w:val="000000"/>
        </w:rPr>
        <w:t xml:space="preserve">both </w:t>
      </w:r>
      <w:r w:rsidR="00525EC6" w:rsidRPr="00472136">
        <w:rPr>
          <w:rFonts w:ascii="Arial" w:hAnsi="Arial" w:cs="Arial"/>
          <w:color w:val="000000"/>
        </w:rPr>
        <w:t>where i</w:t>
      </w:r>
      <w:r w:rsidRPr="00472136">
        <w:rPr>
          <w:rFonts w:ascii="Arial" w:hAnsi="Arial" w:cs="Arial"/>
          <w:color w:val="000000"/>
        </w:rPr>
        <w:t xml:space="preserve">mprovement is most needed and </w:t>
      </w:r>
      <w:r w:rsidR="00F5249F" w:rsidRPr="00472136">
        <w:rPr>
          <w:rFonts w:ascii="Arial" w:hAnsi="Arial" w:cs="Arial"/>
          <w:color w:val="000000"/>
        </w:rPr>
        <w:t xml:space="preserve">in the design of </w:t>
      </w:r>
      <w:r w:rsidR="004967BE" w:rsidRPr="00472136">
        <w:rPr>
          <w:rFonts w:ascii="Arial" w:hAnsi="Arial" w:cs="Arial"/>
          <w:color w:val="000000"/>
        </w:rPr>
        <w:t xml:space="preserve">targeted service interventions for </w:t>
      </w:r>
      <w:r w:rsidR="00F5249F" w:rsidRPr="00472136">
        <w:rPr>
          <w:rFonts w:ascii="Arial" w:hAnsi="Arial" w:cs="Arial"/>
          <w:color w:val="000000"/>
        </w:rPr>
        <w:t xml:space="preserve"> the </w:t>
      </w:r>
      <w:r w:rsidR="004967BE" w:rsidRPr="00472136">
        <w:rPr>
          <w:rFonts w:ascii="Arial" w:hAnsi="Arial" w:cs="Arial"/>
          <w:color w:val="000000"/>
        </w:rPr>
        <w:t xml:space="preserve">local </w:t>
      </w:r>
      <w:r w:rsidR="00F5249F" w:rsidRPr="00472136">
        <w:rPr>
          <w:rFonts w:ascii="Arial" w:hAnsi="Arial" w:cs="Arial"/>
          <w:color w:val="000000"/>
        </w:rPr>
        <w:t>community</w:t>
      </w:r>
      <w:r w:rsidRPr="00472136">
        <w:rPr>
          <w:rFonts w:ascii="Arial" w:hAnsi="Arial" w:cs="Arial"/>
          <w:color w:val="000000"/>
        </w:rPr>
        <w:t>; and</w:t>
      </w:r>
    </w:p>
    <w:p w14:paraId="04C9D40B" w14:textId="3828F107" w:rsidR="00C73E52" w:rsidRPr="00472136" w:rsidRDefault="00C73E52"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 xml:space="preserve">enables government and </w:t>
      </w:r>
      <w:r w:rsidR="00F5249F" w:rsidRPr="00472136">
        <w:rPr>
          <w:rFonts w:ascii="Arial" w:hAnsi="Arial" w:cs="Arial"/>
          <w:color w:val="000000"/>
        </w:rPr>
        <w:t xml:space="preserve">wider </w:t>
      </w:r>
      <w:r w:rsidRPr="00472136">
        <w:rPr>
          <w:rFonts w:ascii="Arial" w:hAnsi="Arial" w:cs="Arial"/>
          <w:color w:val="000000"/>
        </w:rPr>
        <w:t>regulators to concentrate</w:t>
      </w:r>
      <w:r w:rsidR="006255AD" w:rsidRPr="00472136">
        <w:rPr>
          <w:rFonts w:ascii="Arial" w:hAnsi="Arial" w:cs="Arial"/>
          <w:color w:val="000000"/>
        </w:rPr>
        <w:t xml:space="preserve"> </w:t>
      </w:r>
      <w:r w:rsidRPr="00472136">
        <w:rPr>
          <w:rFonts w:ascii="Arial" w:hAnsi="Arial" w:cs="Arial"/>
          <w:color w:val="000000"/>
        </w:rPr>
        <w:t>strategically on those areas that most need support.</w:t>
      </w:r>
    </w:p>
    <w:p w14:paraId="15B37615" w14:textId="77777777" w:rsidR="002B6EEF" w:rsidRPr="00472136" w:rsidRDefault="002B6EEF" w:rsidP="002B6EEF">
      <w:pPr>
        <w:pStyle w:val="ListParagraph"/>
        <w:autoSpaceDE w:val="0"/>
        <w:autoSpaceDN w:val="0"/>
        <w:adjustRightInd w:val="0"/>
        <w:spacing w:after="0" w:line="240" w:lineRule="auto"/>
        <w:rPr>
          <w:rFonts w:ascii="Arial" w:hAnsi="Arial" w:cs="Arial"/>
          <w:color w:val="000000"/>
        </w:rPr>
      </w:pPr>
    </w:p>
    <w:p w14:paraId="5AC8C2BD" w14:textId="50E2BC61" w:rsidR="006255AD" w:rsidRPr="00472136" w:rsidRDefault="006255AD" w:rsidP="006255AD">
      <w:pPr>
        <w:autoSpaceDE w:val="0"/>
        <w:autoSpaceDN w:val="0"/>
        <w:adjustRightInd w:val="0"/>
        <w:spacing w:after="0" w:line="240" w:lineRule="auto"/>
        <w:rPr>
          <w:rFonts w:ascii="Arial" w:hAnsi="Arial" w:cs="Arial"/>
          <w:color w:val="365F91" w:themeColor="accent1" w:themeShade="BF"/>
          <w:sz w:val="24"/>
          <w:szCs w:val="24"/>
        </w:rPr>
      </w:pPr>
      <w:r w:rsidRPr="00472136">
        <w:rPr>
          <w:rFonts w:ascii="Arial" w:hAnsi="Arial" w:cs="Arial"/>
          <w:color w:val="365F91" w:themeColor="accent1" w:themeShade="BF"/>
          <w:sz w:val="24"/>
          <w:szCs w:val="24"/>
        </w:rPr>
        <w:t>How is a Community Profile compiled?</w:t>
      </w:r>
      <w:r w:rsidR="00472136">
        <w:rPr>
          <w:rFonts w:ascii="Arial" w:hAnsi="Arial" w:cs="Arial"/>
          <w:color w:val="365F91" w:themeColor="accent1" w:themeShade="BF"/>
          <w:sz w:val="24"/>
          <w:szCs w:val="24"/>
        </w:rPr>
        <w:br/>
      </w:r>
    </w:p>
    <w:p w14:paraId="62E3A7C5" w14:textId="20C5C39F" w:rsidR="006255AD" w:rsidRPr="00472136" w:rsidRDefault="006255AD" w:rsidP="00C73E52">
      <w:pPr>
        <w:autoSpaceDE w:val="0"/>
        <w:autoSpaceDN w:val="0"/>
        <w:adjustRightInd w:val="0"/>
        <w:spacing w:after="0" w:line="240" w:lineRule="auto"/>
        <w:rPr>
          <w:rFonts w:ascii="Arial" w:hAnsi="Arial" w:cs="Arial"/>
          <w:color w:val="000000"/>
        </w:rPr>
      </w:pPr>
      <w:r w:rsidRPr="00472136">
        <w:rPr>
          <w:rFonts w:ascii="Arial" w:hAnsi="Arial" w:cs="Arial"/>
          <w:color w:val="000000"/>
        </w:rPr>
        <w:t>In reviewing this Community Profile it is worth considering:</w:t>
      </w:r>
    </w:p>
    <w:p w14:paraId="545E73F5" w14:textId="77777777" w:rsidR="0091256F" w:rsidRPr="00472136" w:rsidRDefault="00F5249F"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 xml:space="preserve">content </w:t>
      </w:r>
      <w:r w:rsidR="00B13EFE" w:rsidRPr="00472136">
        <w:rPr>
          <w:rFonts w:ascii="Arial" w:hAnsi="Arial" w:cs="Arial"/>
          <w:color w:val="000000"/>
        </w:rPr>
        <w:t>is sourced</w:t>
      </w:r>
      <w:r w:rsidR="006255AD" w:rsidRPr="00472136">
        <w:rPr>
          <w:rFonts w:ascii="Arial" w:hAnsi="Arial" w:cs="Arial"/>
          <w:color w:val="000000"/>
        </w:rPr>
        <w:t xml:space="preserve"> through the research and analysis of key </w:t>
      </w:r>
      <w:r w:rsidRPr="00472136">
        <w:rPr>
          <w:rFonts w:ascii="Arial" w:hAnsi="Arial" w:cs="Arial"/>
          <w:color w:val="000000"/>
        </w:rPr>
        <w:t xml:space="preserve">material from </w:t>
      </w:r>
      <w:r w:rsidR="006255AD" w:rsidRPr="00472136">
        <w:rPr>
          <w:rFonts w:ascii="Arial" w:hAnsi="Arial" w:cs="Arial"/>
          <w:color w:val="000000"/>
        </w:rPr>
        <w:t xml:space="preserve">a wide range of stakeholders </w:t>
      </w:r>
      <w:r w:rsidR="0091256F" w:rsidRPr="00472136">
        <w:rPr>
          <w:rFonts w:ascii="Arial" w:hAnsi="Arial" w:cs="Arial"/>
          <w:color w:val="000000"/>
        </w:rPr>
        <w:t xml:space="preserve">across </w:t>
      </w:r>
      <w:r w:rsidR="006255AD" w:rsidRPr="00472136">
        <w:rPr>
          <w:rFonts w:ascii="Arial" w:hAnsi="Arial" w:cs="Arial"/>
          <w:color w:val="000000"/>
        </w:rPr>
        <w:t>central and local government, partner organisations and a series of independent bodies</w:t>
      </w:r>
      <w:r w:rsidR="0091256F" w:rsidRPr="00472136">
        <w:rPr>
          <w:rFonts w:ascii="Arial" w:hAnsi="Arial" w:cs="Arial"/>
          <w:color w:val="000000"/>
        </w:rPr>
        <w:t>, including;</w:t>
      </w:r>
    </w:p>
    <w:p w14:paraId="1CC310A0" w14:textId="77777777" w:rsidR="002B6EEF" w:rsidRPr="00472136" w:rsidRDefault="0091256F" w:rsidP="002B6EEF">
      <w:pPr>
        <w:pStyle w:val="ListParagraph"/>
        <w:numPr>
          <w:ilvl w:val="1"/>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Office for National Statistics (ONS)</w:t>
      </w:r>
    </w:p>
    <w:p w14:paraId="11B1B8C6" w14:textId="77777777" w:rsidR="002B6EEF" w:rsidRPr="00472136" w:rsidRDefault="0091256F" w:rsidP="002B6EEF">
      <w:pPr>
        <w:pStyle w:val="ListParagraph"/>
        <w:numPr>
          <w:ilvl w:val="1"/>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Ministry of Housing, Communities and Local Government (MHCLG)</w:t>
      </w:r>
    </w:p>
    <w:p w14:paraId="66AB65A7" w14:textId="77777777" w:rsidR="002B6EEF" w:rsidRPr="00472136" w:rsidRDefault="0091256F" w:rsidP="002B6EEF">
      <w:pPr>
        <w:pStyle w:val="ListParagraph"/>
        <w:numPr>
          <w:ilvl w:val="1"/>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Kent County Council (KCC)</w:t>
      </w:r>
    </w:p>
    <w:p w14:paraId="1244CF8D" w14:textId="51DE8621" w:rsidR="006255AD" w:rsidRPr="00967211" w:rsidRDefault="0091256F" w:rsidP="00967211">
      <w:pPr>
        <w:pStyle w:val="ListParagraph"/>
        <w:numPr>
          <w:ilvl w:val="1"/>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Valuation Office Agency (VOA).</w:t>
      </w:r>
    </w:p>
    <w:p w14:paraId="63C652F6" w14:textId="77777777" w:rsidR="00500496" w:rsidRDefault="00500496" w:rsidP="00500496">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it is a snapshot of the borough at the time of writing. Wherever possible the latest available data and statistics have been used.</w:t>
      </w:r>
    </w:p>
    <w:p w14:paraId="74DB0A78" w14:textId="77777777" w:rsidR="006255AD" w:rsidRPr="00472136" w:rsidRDefault="00B13EFE" w:rsidP="002B6EEF">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p</w:t>
      </w:r>
      <w:r w:rsidR="00501BA1" w:rsidRPr="00472136">
        <w:rPr>
          <w:rFonts w:ascii="Arial" w:hAnsi="Arial" w:cs="Arial"/>
          <w:color w:val="000000"/>
        </w:rPr>
        <w:t xml:space="preserve">rofiling </w:t>
      </w:r>
      <w:r w:rsidR="00C73E52" w:rsidRPr="00472136">
        <w:rPr>
          <w:rFonts w:ascii="Arial" w:hAnsi="Arial" w:cs="Arial"/>
          <w:color w:val="000000"/>
        </w:rPr>
        <w:t>is a continuous process as the council seeks</w:t>
      </w:r>
      <w:r w:rsidR="00525EC6" w:rsidRPr="00472136">
        <w:rPr>
          <w:rFonts w:ascii="Arial" w:hAnsi="Arial" w:cs="Arial"/>
          <w:color w:val="000000"/>
        </w:rPr>
        <w:t xml:space="preserve"> </w:t>
      </w:r>
      <w:r w:rsidR="00C73E52" w:rsidRPr="00472136">
        <w:rPr>
          <w:rFonts w:ascii="Arial" w:hAnsi="Arial" w:cs="Arial"/>
          <w:color w:val="000000"/>
        </w:rPr>
        <w:t>to identify any growing trends within the various sectors</w:t>
      </w:r>
      <w:r w:rsidR="00525EC6" w:rsidRPr="00472136">
        <w:rPr>
          <w:rFonts w:ascii="Arial" w:hAnsi="Arial" w:cs="Arial"/>
          <w:color w:val="000000"/>
        </w:rPr>
        <w:t xml:space="preserve"> </w:t>
      </w:r>
      <w:r w:rsidR="00C73E52" w:rsidRPr="00472136">
        <w:rPr>
          <w:rFonts w:ascii="Arial" w:hAnsi="Arial" w:cs="Arial"/>
          <w:color w:val="000000"/>
        </w:rPr>
        <w:t>of the community. The information outlined in this</w:t>
      </w:r>
      <w:r w:rsidR="006255AD" w:rsidRPr="00472136">
        <w:rPr>
          <w:rFonts w:ascii="Arial" w:hAnsi="Arial" w:cs="Arial"/>
          <w:color w:val="000000"/>
        </w:rPr>
        <w:t xml:space="preserve"> </w:t>
      </w:r>
      <w:r w:rsidR="00C73E52" w:rsidRPr="00472136">
        <w:rPr>
          <w:rFonts w:ascii="Arial" w:hAnsi="Arial" w:cs="Arial"/>
          <w:color w:val="000000"/>
        </w:rPr>
        <w:t xml:space="preserve">Community Profile </w:t>
      </w:r>
      <w:r w:rsidR="006255AD" w:rsidRPr="00472136">
        <w:rPr>
          <w:rFonts w:ascii="Arial" w:hAnsi="Arial" w:cs="Arial"/>
          <w:color w:val="000000"/>
        </w:rPr>
        <w:t>is</w:t>
      </w:r>
      <w:r w:rsidR="00C73E52" w:rsidRPr="00472136">
        <w:rPr>
          <w:rFonts w:ascii="Arial" w:hAnsi="Arial" w:cs="Arial"/>
          <w:color w:val="000000"/>
        </w:rPr>
        <w:t xml:space="preserve"> therefore reviewed on a regular</w:t>
      </w:r>
      <w:r w:rsidR="00525EC6" w:rsidRPr="00472136">
        <w:rPr>
          <w:rFonts w:ascii="Arial" w:hAnsi="Arial" w:cs="Arial"/>
          <w:color w:val="000000"/>
        </w:rPr>
        <w:t xml:space="preserve"> </w:t>
      </w:r>
      <w:r w:rsidR="00C73E52" w:rsidRPr="00472136">
        <w:rPr>
          <w:rFonts w:ascii="Arial" w:hAnsi="Arial" w:cs="Arial"/>
          <w:color w:val="000000"/>
        </w:rPr>
        <w:t>basis to ensure the latest and most accurate data is</w:t>
      </w:r>
      <w:r w:rsidR="00525EC6" w:rsidRPr="00472136">
        <w:rPr>
          <w:rFonts w:ascii="Arial" w:hAnsi="Arial" w:cs="Arial"/>
          <w:color w:val="000000"/>
        </w:rPr>
        <w:t xml:space="preserve"> </w:t>
      </w:r>
      <w:r w:rsidR="00C73E52" w:rsidRPr="00472136">
        <w:rPr>
          <w:rFonts w:ascii="Arial" w:hAnsi="Arial" w:cs="Arial"/>
          <w:color w:val="000000"/>
        </w:rPr>
        <w:t>analys</w:t>
      </w:r>
      <w:r w:rsidR="006255AD" w:rsidRPr="00472136">
        <w:rPr>
          <w:rFonts w:ascii="Arial" w:hAnsi="Arial" w:cs="Arial"/>
          <w:color w:val="000000"/>
        </w:rPr>
        <w:t>ed</w:t>
      </w:r>
      <w:r w:rsidR="00C73E52" w:rsidRPr="00472136">
        <w:rPr>
          <w:rFonts w:ascii="Arial" w:hAnsi="Arial" w:cs="Arial"/>
          <w:color w:val="000000"/>
        </w:rPr>
        <w:t>.</w:t>
      </w:r>
      <w:r w:rsidR="006255AD" w:rsidRPr="00472136">
        <w:rPr>
          <w:rFonts w:ascii="Arial" w:hAnsi="Arial" w:cs="Arial"/>
          <w:color w:val="000000"/>
        </w:rPr>
        <w:t xml:space="preserve"> </w:t>
      </w:r>
    </w:p>
    <w:p w14:paraId="17C863B6" w14:textId="6E12D8F3" w:rsidR="002B6EEF" w:rsidRDefault="00B13EFE" w:rsidP="00472136">
      <w:pPr>
        <w:pStyle w:val="ListParagraph"/>
        <w:numPr>
          <w:ilvl w:val="0"/>
          <w:numId w:val="9"/>
        </w:numPr>
        <w:autoSpaceDE w:val="0"/>
        <w:autoSpaceDN w:val="0"/>
        <w:adjustRightInd w:val="0"/>
        <w:spacing w:after="0" w:line="240" w:lineRule="auto"/>
        <w:rPr>
          <w:rFonts w:ascii="Arial" w:hAnsi="Arial" w:cs="Arial"/>
          <w:color w:val="000000"/>
        </w:rPr>
      </w:pPr>
      <w:r w:rsidRPr="00472136">
        <w:rPr>
          <w:rFonts w:ascii="Arial" w:hAnsi="Arial" w:cs="Arial"/>
          <w:color w:val="000000"/>
        </w:rPr>
        <w:t xml:space="preserve">in </w:t>
      </w:r>
      <w:r w:rsidR="00C73E52" w:rsidRPr="00472136">
        <w:rPr>
          <w:rFonts w:ascii="Arial" w:hAnsi="Arial" w:cs="Arial"/>
          <w:color w:val="000000"/>
        </w:rPr>
        <w:t>presenting Gravesham’s position within</w:t>
      </w:r>
      <w:r w:rsidR="006255AD" w:rsidRPr="00472136">
        <w:rPr>
          <w:rFonts w:ascii="Arial" w:hAnsi="Arial" w:cs="Arial"/>
          <w:color w:val="000000"/>
        </w:rPr>
        <w:t xml:space="preserve"> </w:t>
      </w:r>
      <w:r w:rsidR="00C73E52" w:rsidRPr="00472136">
        <w:rPr>
          <w:rFonts w:ascii="Arial" w:hAnsi="Arial" w:cs="Arial"/>
          <w:color w:val="000000"/>
        </w:rPr>
        <w:t>Kent, this refers to the council comparatively against all</w:t>
      </w:r>
      <w:r w:rsidR="006255AD" w:rsidRPr="00472136">
        <w:rPr>
          <w:rFonts w:ascii="Arial" w:hAnsi="Arial" w:cs="Arial"/>
          <w:color w:val="000000"/>
        </w:rPr>
        <w:t xml:space="preserve"> </w:t>
      </w:r>
      <w:r w:rsidR="00C73E52" w:rsidRPr="00472136">
        <w:rPr>
          <w:rFonts w:ascii="Arial" w:hAnsi="Arial" w:cs="Arial"/>
          <w:color w:val="000000"/>
        </w:rPr>
        <w:t>12 Kent district councils.</w:t>
      </w:r>
    </w:p>
    <w:p w14:paraId="6419E0C1" w14:textId="1CDA4B01" w:rsidR="00F27970" w:rsidRDefault="00F27970" w:rsidP="00F27970">
      <w:pPr>
        <w:autoSpaceDE w:val="0"/>
        <w:autoSpaceDN w:val="0"/>
        <w:adjustRightInd w:val="0"/>
        <w:spacing w:after="0" w:line="240" w:lineRule="auto"/>
        <w:rPr>
          <w:rFonts w:ascii="Arial" w:hAnsi="Arial" w:cs="Arial"/>
          <w:color w:val="000000"/>
        </w:rPr>
      </w:pPr>
    </w:p>
    <w:p w14:paraId="7D7C29B2" w14:textId="1F5884AE" w:rsidR="00F27970" w:rsidRDefault="00F27970" w:rsidP="00F27970">
      <w:pPr>
        <w:autoSpaceDE w:val="0"/>
        <w:autoSpaceDN w:val="0"/>
        <w:adjustRightInd w:val="0"/>
        <w:spacing w:after="0" w:line="240" w:lineRule="auto"/>
        <w:rPr>
          <w:rFonts w:ascii="Arial" w:hAnsi="Arial" w:cs="Arial"/>
          <w:color w:val="000000"/>
        </w:rPr>
      </w:pPr>
    </w:p>
    <w:p w14:paraId="21E6DA29" w14:textId="304C0D4B" w:rsidR="00F27970" w:rsidRDefault="00F27970" w:rsidP="00F27970">
      <w:pPr>
        <w:autoSpaceDE w:val="0"/>
        <w:autoSpaceDN w:val="0"/>
        <w:adjustRightInd w:val="0"/>
        <w:spacing w:after="0" w:line="240" w:lineRule="auto"/>
        <w:rPr>
          <w:rFonts w:ascii="Arial" w:hAnsi="Arial" w:cs="Arial"/>
          <w:color w:val="000000"/>
        </w:rPr>
      </w:pPr>
    </w:p>
    <w:p w14:paraId="1A4CDB57" w14:textId="77777777" w:rsidR="00CF073B" w:rsidRPr="00035718" w:rsidRDefault="00CF073B" w:rsidP="00CF073B">
      <w:pPr>
        <w:pStyle w:val="Default"/>
        <w:rPr>
          <w:rFonts w:ascii="Arial" w:eastAsia="Arial" w:hAnsi="Arial" w:cs="Arial"/>
          <w:color w:val="365F91" w:themeColor="accent1" w:themeShade="BF"/>
          <w:sz w:val="26"/>
          <w:szCs w:val="26"/>
        </w:rPr>
      </w:pPr>
      <w:r w:rsidRPr="00035718">
        <w:rPr>
          <w:rFonts w:ascii="Arial" w:eastAsia="Arial" w:hAnsi="Arial" w:cs="Arial"/>
          <w:color w:val="365F91" w:themeColor="accent1" w:themeShade="BF"/>
          <w:sz w:val="26"/>
          <w:szCs w:val="26"/>
        </w:rPr>
        <w:lastRenderedPageBreak/>
        <w:t>2. Overview</w:t>
      </w:r>
    </w:p>
    <w:p w14:paraId="11874D46" w14:textId="77777777" w:rsidR="00CF073B" w:rsidRPr="000F616F" w:rsidRDefault="00CF073B" w:rsidP="00CF073B">
      <w:pPr>
        <w:pStyle w:val="Default"/>
        <w:rPr>
          <w:rFonts w:ascii="Arial" w:hAnsi="Arial" w:cs="Arial"/>
          <w:b/>
          <w:bCs/>
          <w:color w:val="auto"/>
          <w:sz w:val="20"/>
          <w:szCs w:val="20"/>
        </w:rPr>
      </w:pPr>
    </w:p>
    <w:p w14:paraId="75CD2516" w14:textId="77777777" w:rsidR="0081554B" w:rsidRPr="0081554B" w:rsidRDefault="00CF073B" w:rsidP="0081554B">
      <w:pPr>
        <w:pStyle w:val="Default"/>
        <w:rPr>
          <w:rFonts w:ascii="Arial" w:hAnsi="Arial" w:cs="Arial"/>
          <w:color w:val="auto"/>
          <w:sz w:val="22"/>
          <w:szCs w:val="22"/>
        </w:rPr>
      </w:pPr>
      <w:r w:rsidRPr="00430D5E">
        <w:rPr>
          <w:rFonts w:ascii="Arial" w:hAnsi="Arial" w:cs="Arial"/>
          <w:color w:val="auto"/>
          <w:sz w:val="22"/>
          <w:szCs w:val="22"/>
        </w:rPr>
        <w:t>Gravesham Borough is located in the north of Kent</w:t>
      </w:r>
      <w:r>
        <w:rPr>
          <w:rFonts w:ascii="Arial" w:hAnsi="Arial" w:cs="Arial"/>
          <w:color w:val="auto"/>
          <w:sz w:val="22"/>
          <w:szCs w:val="22"/>
        </w:rPr>
        <w:t xml:space="preserve">. It is </w:t>
      </w:r>
      <w:r w:rsidRPr="00430D5E">
        <w:rPr>
          <w:rFonts w:ascii="Arial" w:hAnsi="Arial" w:cs="Arial"/>
          <w:color w:val="auto"/>
          <w:sz w:val="22"/>
          <w:szCs w:val="22"/>
        </w:rPr>
        <w:t>approximately 32 kilometres (20 miles) east of London</w:t>
      </w:r>
      <w:r>
        <w:rPr>
          <w:rFonts w:ascii="Arial" w:hAnsi="Arial" w:cs="Arial"/>
          <w:color w:val="auto"/>
          <w:sz w:val="22"/>
          <w:szCs w:val="22"/>
        </w:rPr>
        <w:t xml:space="preserve"> and </w:t>
      </w:r>
      <w:r w:rsidRPr="00430D5E">
        <w:rPr>
          <w:rFonts w:ascii="Arial" w:hAnsi="Arial" w:cs="Arial"/>
          <w:color w:val="auto"/>
          <w:sz w:val="22"/>
          <w:szCs w:val="22"/>
        </w:rPr>
        <w:t>covers a</w:t>
      </w:r>
      <w:r w:rsidR="0081554B">
        <w:rPr>
          <w:rFonts w:ascii="Arial" w:hAnsi="Arial" w:cs="Arial"/>
          <w:color w:val="auto"/>
          <w:sz w:val="22"/>
          <w:szCs w:val="22"/>
        </w:rPr>
        <w:t xml:space="preserve"> land </w:t>
      </w:r>
      <w:r w:rsidRPr="00430D5E">
        <w:rPr>
          <w:rFonts w:ascii="Arial" w:hAnsi="Arial" w:cs="Arial"/>
          <w:color w:val="auto"/>
          <w:sz w:val="22"/>
          <w:szCs w:val="22"/>
        </w:rPr>
        <w:t xml:space="preserve">area of </w:t>
      </w:r>
    </w:p>
    <w:p w14:paraId="0EAC3543" w14:textId="30AB8341" w:rsidR="00CF073B" w:rsidRPr="00430D5E" w:rsidRDefault="0081554B" w:rsidP="0081554B">
      <w:pPr>
        <w:pStyle w:val="Default"/>
        <w:rPr>
          <w:rFonts w:ascii="Arial" w:hAnsi="Arial" w:cs="Arial"/>
          <w:color w:val="auto"/>
          <w:sz w:val="22"/>
          <w:szCs w:val="22"/>
        </w:rPr>
      </w:pPr>
      <w:r w:rsidRPr="0081554B">
        <w:rPr>
          <w:rFonts w:ascii="Arial" w:hAnsi="Arial" w:cs="Arial"/>
          <w:color w:val="auto"/>
          <w:sz w:val="22"/>
          <w:szCs w:val="22"/>
        </w:rPr>
        <w:t xml:space="preserve">of </w:t>
      </w:r>
      <w:r w:rsidR="00017669">
        <w:rPr>
          <w:rFonts w:ascii="Arial" w:hAnsi="Arial" w:cs="Arial"/>
          <w:color w:val="auto"/>
          <w:sz w:val="22"/>
          <w:szCs w:val="22"/>
        </w:rPr>
        <w:t>99</w:t>
      </w:r>
      <w:r w:rsidRPr="0081554B">
        <w:rPr>
          <w:rFonts w:ascii="Arial" w:hAnsi="Arial" w:cs="Arial"/>
          <w:color w:val="auto"/>
          <w:sz w:val="22"/>
          <w:szCs w:val="22"/>
        </w:rPr>
        <w:t xml:space="preserve"> square </w:t>
      </w:r>
      <w:r w:rsidR="00017669">
        <w:rPr>
          <w:rFonts w:ascii="Arial" w:hAnsi="Arial" w:cs="Arial"/>
          <w:color w:val="auto"/>
          <w:sz w:val="22"/>
          <w:szCs w:val="22"/>
        </w:rPr>
        <w:t xml:space="preserve">kilometres </w:t>
      </w:r>
      <w:r w:rsidRPr="0081554B">
        <w:rPr>
          <w:rFonts w:ascii="Arial" w:hAnsi="Arial" w:cs="Arial"/>
          <w:color w:val="auto"/>
          <w:sz w:val="22"/>
          <w:szCs w:val="22"/>
        </w:rPr>
        <w:t>(</w:t>
      </w:r>
      <w:r w:rsidR="00017669">
        <w:rPr>
          <w:rFonts w:ascii="Arial" w:hAnsi="Arial" w:cs="Arial"/>
          <w:color w:val="auto"/>
          <w:sz w:val="22"/>
          <w:szCs w:val="22"/>
        </w:rPr>
        <w:t>38</w:t>
      </w:r>
      <w:r w:rsidRPr="0081554B">
        <w:rPr>
          <w:rFonts w:ascii="Arial" w:hAnsi="Arial" w:cs="Arial"/>
          <w:color w:val="auto"/>
          <w:sz w:val="22"/>
          <w:szCs w:val="22"/>
        </w:rPr>
        <w:t xml:space="preserve"> square </w:t>
      </w:r>
      <w:r w:rsidR="00017669">
        <w:rPr>
          <w:rFonts w:ascii="Arial" w:hAnsi="Arial" w:cs="Arial"/>
          <w:color w:val="auto"/>
          <w:sz w:val="22"/>
          <w:szCs w:val="22"/>
        </w:rPr>
        <w:t>miles</w:t>
      </w:r>
      <w:r>
        <w:rPr>
          <w:rFonts w:ascii="Arial" w:hAnsi="Arial" w:cs="Arial"/>
          <w:color w:val="auto"/>
          <w:sz w:val="22"/>
          <w:szCs w:val="22"/>
        </w:rPr>
        <w:t>)</w:t>
      </w:r>
      <w:r w:rsidR="00CF073B">
        <w:rPr>
          <w:rFonts w:ascii="Arial" w:hAnsi="Arial" w:cs="Arial"/>
          <w:color w:val="auto"/>
          <w:sz w:val="22"/>
          <w:szCs w:val="22"/>
        </w:rPr>
        <w:t xml:space="preserve">, </w:t>
      </w:r>
      <w:r w:rsidR="00CF073B" w:rsidRPr="00430D5E">
        <w:rPr>
          <w:rFonts w:ascii="Arial" w:hAnsi="Arial" w:cs="Arial"/>
          <w:color w:val="auto"/>
          <w:sz w:val="22"/>
          <w:szCs w:val="22"/>
        </w:rPr>
        <w:t>stretch</w:t>
      </w:r>
      <w:r w:rsidR="00CF073B">
        <w:rPr>
          <w:rFonts w:ascii="Arial" w:hAnsi="Arial" w:cs="Arial"/>
          <w:color w:val="auto"/>
          <w:sz w:val="22"/>
          <w:szCs w:val="22"/>
        </w:rPr>
        <w:t>ing</w:t>
      </w:r>
      <w:r w:rsidR="00CF073B" w:rsidRPr="00430D5E">
        <w:rPr>
          <w:rFonts w:ascii="Arial" w:hAnsi="Arial" w:cs="Arial"/>
          <w:color w:val="auto"/>
          <w:sz w:val="22"/>
          <w:szCs w:val="22"/>
        </w:rPr>
        <w:t xml:space="preserve"> from the River Thames in the north to the crest of the North Downs in the south. </w:t>
      </w:r>
    </w:p>
    <w:p w14:paraId="7F83F75B" w14:textId="77777777" w:rsidR="00CF073B" w:rsidRPr="00430D5E" w:rsidRDefault="00CF073B" w:rsidP="00CF073B">
      <w:pPr>
        <w:pStyle w:val="Default"/>
        <w:rPr>
          <w:rFonts w:ascii="Arial" w:hAnsi="Arial" w:cs="Arial"/>
          <w:color w:val="auto"/>
          <w:sz w:val="22"/>
          <w:szCs w:val="22"/>
        </w:rPr>
      </w:pPr>
    </w:p>
    <w:p w14:paraId="04B56678" w14:textId="77777777" w:rsidR="00CF073B" w:rsidRPr="00430D5E" w:rsidRDefault="00CF073B" w:rsidP="00CF073B">
      <w:pPr>
        <w:pStyle w:val="Default"/>
        <w:rPr>
          <w:rFonts w:ascii="Arial" w:hAnsi="Arial" w:cs="Arial"/>
          <w:color w:val="auto"/>
          <w:sz w:val="22"/>
          <w:szCs w:val="22"/>
        </w:rPr>
      </w:pPr>
      <w:r>
        <w:rPr>
          <w:rFonts w:ascii="Arial" w:hAnsi="Arial" w:cs="Arial"/>
          <w:color w:val="auto"/>
          <w:sz w:val="22"/>
          <w:szCs w:val="22"/>
        </w:rPr>
        <w:t>Gravesham</w:t>
      </w:r>
      <w:r w:rsidRPr="00430D5E">
        <w:rPr>
          <w:rFonts w:ascii="Arial" w:hAnsi="Arial" w:cs="Arial"/>
          <w:color w:val="auto"/>
          <w:sz w:val="22"/>
          <w:szCs w:val="22"/>
        </w:rPr>
        <w:t xml:space="preserve"> is bounded by the local authorities of Dartford and Sevenoaks to the west, </w:t>
      </w:r>
      <w:proofErr w:type="gramStart"/>
      <w:r w:rsidRPr="00430D5E">
        <w:rPr>
          <w:rFonts w:ascii="Arial" w:hAnsi="Arial" w:cs="Arial"/>
          <w:color w:val="auto"/>
          <w:sz w:val="22"/>
          <w:szCs w:val="22"/>
        </w:rPr>
        <w:t>Tonbridge</w:t>
      </w:r>
      <w:proofErr w:type="gramEnd"/>
      <w:r w:rsidRPr="00430D5E">
        <w:rPr>
          <w:rFonts w:ascii="Arial" w:hAnsi="Arial" w:cs="Arial"/>
          <w:color w:val="auto"/>
          <w:sz w:val="22"/>
          <w:szCs w:val="22"/>
        </w:rPr>
        <w:t xml:space="preserve"> and Malling to the south and Medway to the east. </w:t>
      </w:r>
      <w:r>
        <w:rPr>
          <w:rFonts w:ascii="Arial" w:hAnsi="Arial" w:cs="Arial"/>
          <w:color w:val="auto"/>
          <w:sz w:val="22"/>
          <w:szCs w:val="22"/>
        </w:rPr>
        <w:t>H</w:t>
      </w:r>
      <w:r w:rsidRPr="00430D5E">
        <w:rPr>
          <w:rFonts w:ascii="Arial" w:hAnsi="Arial" w:cs="Arial"/>
          <w:color w:val="auto"/>
          <w:sz w:val="22"/>
          <w:szCs w:val="22"/>
        </w:rPr>
        <w:t>ome to an attractive natural environment, including the Kent Downs AONB</w:t>
      </w:r>
      <w:r>
        <w:rPr>
          <w:rFonts w:ascii="Arial" w:hAnsi="Arial" w:cs="Arial"/>
          <w:color w:val="auto"/>
          <w:sz w:val="22"/>
          <w:szCs w:val="22"/>
        </w:rPr>
        <w:t>, it</w:t>
      </w:r>
      <w:r w:rsidRPr="00430D5E">
        <w:rPr>
          <w:rFonts w:ascii="Arial" w:hAnsi="Arial" w:cs="Arial"/>
          <w:color w:val="auto"/>
          <w:sz w:val="22"/>
          <w:szCs w:val="22"/>
        </w:rPr>
        <w:t xml:space="preserve"> has strong transport connectivity to central London. </w:t>
      </w:r>
    </w:p>
    <w:p w14:paraId="3E28C3F7" w14:textId="77777777" w:rsidR="00CF073B" w:rsidRPr="00430D5E" w:rsidRDefault="00CF073B" w:rsidP="00CF073B">
      <w:pPr>
        <w:pStyle w:val="Default"/>
        <w:rPr>
          <w:rFonts w:ascii="Arial" w:hAnsi="Arial" w:cs="Arial"/>
          <w:color w:val="auto"/>
          <w:sz w:val="22"/>
          <w:szCs w:val="22"/>
        </w:rPr>
      </w:pPr>
    </w:p>
    <w:p w14:paraId="3CF2A150" w14:textId="77777777" w:rsidR="00CF073B" w:rsidRPr="00035718" w:rsidRDefault="00CF073B" w:rsidP="00CF073B">
      <w:pPr>
        <w:pStyle w:val="Default"/>
        <w:rPr>
          <w:rFonts w:ascii="Arial" w:hAnsi="Arial" w:cs="Arial"/>
          <w:color w:val="365F91" w:themeColor="accent1" w:themeShade="BF"/>
        </w:rPr>
      </w:pPr>
      <w:r w:rsidRPr="00035718">
        <w:rPr>
          <w:rFonts w:ascii="Arial" w:hAnsi="Arial" w:cs="Arial"/>
          <w:color w:val="365F91" w:themeColor="accent1" w:themeShade="BF"/>
        </w:rPr>
        <w:t>Key policy challenges</w:t>
      </w:r>
    </w:p>
    <w:p w14:paraId="432357F3" w14:textId="77777777" w:rsidR="00CF073B" w:rsidRPr="00430D5E" w:rsidRDefault="00CF073B" w:rsidP="00CF073B">
      <w:pPr>
        <w:pStyle w:val="Default"/>
        <w:rPr>
          <w:rFonts w:ascii="Arial" w:hAnsi="Arial" w:cs="Arial"/>
          <w:color w:val="auto"/>
          <w:sz w:val="22"/>
          <w:szCs w:val="22"/>
        </w:rPr>
      </w:pPr>
    </w:p>
    <w:tbl>
      <w:tblPr>
        <w:tblStyle w:val="TableGrid"/>
        <w:tblW w:w="0" w:type="auto"/>
        <w:tblLook w:val="04A0" w:firstRow="1" w:lastRow="0" w:firstColumn="1" w:lastColumn="0" w:noHBand="0" w:noVBand="1"/>
      </w:tblPr>
      <w:tblGrid>
        <w:gridCol w:w="1526"/>
        <w:gridCol w:w="12422"/>
      </w:tblGrid>
      <w:tr w:rsidR="00CF073B" w:rsidRPr="00430D5E" w14:paraId="7B1BFC55" w14:textId="77777777" w:rsidTr="00A52452">
        <w:tc>
          <w:tcPr>
            <w:tcW w:w="1526" w:type="dxa"/>
            <w:vAlign w:val="center"/>
          </w:tcPr>
          <w:p w14:paraId="3DF1CF9B" w14:textId="77777777" w:rsidR="00CF073B" w:rsidRPr="00430D5E" w:rsidRDefault="00CF073B" w:rsidP="00A52452">
            <w:pPr>
              <w:pStyle w:val="Default"/>
              <w:jc w:val="center"/>
              <w:rPr>
                <w:rFonts w:ascii="Arial" w:hAnsi="Arial" w:cs="Arial"/>
                <w:color w:val="auto"/>
                <w:sz w:val="22"/>
                <w:szCs w:val="22"/>
              </w:rPr>
            </w:pPr>
            <w:r w:rsidRPr="00430D5E">
              <w:rPr>
                <w:rFonts w:ascii="Arial" w:hAnsi="Arial" w:cs="Arial"/>
                <w:color w:val="auto"/>
                <w:sz w:val="22"/>
                <w:szCs w:val="22"/>
              </w:rPr>
              <w:t>People</w:t>
            </w:r>
          </w:p>
          <w:p w14:paraId="00B64E58" w14:textId="77777777" w:rsidR="00CF073B" w:rsidRPr="00430D5E" w:rsidRDefault="00CF073B" w:rsidP="00A52452">
            <w:pPr>
              <w:pStyle w:val="Default"/>
              <w:jc w:val="center"/>
              <w:rPr>
                <w:rFonts w:ascii="Arial" w:hAnsi="Arial" w:cs="Arial"/>
                <w:color w:val="auto"/>
                <w:sz w:val="22"/>
                <w:szCs w:val="22"/>
              </w:rPr>
            </w:pPr>
          </w:p>
        </w:tc>
        <w:tc>
          <w:tcPr>
            <w:tcW w:w="12422" w:type="dxa"/>
          </w:tcPr>
          <w:p w14:paraId="6CE8420F" w14:textId="77777777" w:rsidR="00CF073B" w:rsidRDefault="00CF073B" w:rsidP="00CF073B">
            <w:pPr>
              <w:pStyle w:val="Default"/>
              <w:numPr>
                <w:ilvl w:val="0"/>
                <w:numId w:val="10"/>
              </w:numPr>
              <w:ind w:left="319" w:hanging="319"/>
              <w:rPr>
                <w:rFonts w:ascii="Arial" w:hAnsi="Arial" w:cs="Arial"/>
                <w:color w:val="auto"/>
                <w:sz w:val="22"/>
                <w:szCs w:val="22"/>
              </w:rPr>
            </w:pPr>
            <w:r w:rsidRPr="00430D5E">
              <w:rPr>
                <w:rFonts w:ascii="Arial" w:hAnsi="Arial" w:cs="Arial"/>
                <w:color w:val="auto"/>
                <w:sz w:val="22"/>
                <w:szCs w:val="22"/>
              </w:rPr>
              <w:t xml:space="preserve">Gravesham is a </w:t>
            </w:r>
            <w:r>
              <w:rPr>
                <w:rFonts w:ascii="Arial" w:hAnsi="Arial" w:cs="Arial"/>
                <w:color w:val="auto"/>
                <w:sz w:val="22"/>
                <w:szCs w:val="22"/>
              </w:rPr>
              <w:t xml:space="preserve">comparatively </w:t>
            </w:r>
            <w:r w:rsidRPr="00430D5E">
              <w:rPr>
                <w:rFonts w:ascii="Arial" w:hAnsi="Arial" w:cs="Arial"/>
                <w:color w:val="auto"/>
                <w:sz w:val="22"/>
                <w:szCs w:val="22"/>
              </w:rPr>
              <w:t xml:space="preserve">young and diverse population, with nearly 1 in 3 people </w:t>
            </w:r>
            <w:r>
              <w:rPr>
                <w:rFonts w:ascii="Arial" w:hAnsi="Arial" w:cs="Arial"/>
                <w:color w:val="auto"/>
                <w:sz w:val="22"/>
                <w:szCs w:val="22"/>
              </w:rPr>
              <w:t xml:space="preserve">identifying as </w:t>
            </w:r>
            <w:r w:rsidRPr="00430D5E">
              <w:rPr>
                <w:rFonts w:ascii="Arial" w:hAnsi="Arial" w:cs="Arial"/>
                <w:color w:val="auto"/>
                <w:sz w:val="22"/>
                <w:szCs w:val="22"/>
              </w:rPr>
              <w:t>non-white British</w:t>
            </w:r>
            <w:r>
              <w:rPr>
                <w:rFonts w:ascii="Arial" w:hAnsi="Arial" w:cs="Arial"/>
                <w:color w:val="auto"/>
                <w:sz w:val="22"/>
                <w:szCs w:val="22"/>
              </w:rPr>
              <w:t>,</w:t>
            </w:r>
            <w:r w:rsidRPr="00430D5E">
              <w:rPr>
                <w:rFonts w:ascii="Arial" w:hAnsi="Arial" w:cs="Arial"/>
                <w:color w:val="auto"/>
                <w:sz w:val="22"/>
                <w:szCs w:val="22"/>
              </w:rPr>
              <w:t xml:space="preserve"> and </w:t>
            </w:r>
            <w:r w:rsidRPr="00430D5E">
              <w:rPr>
                <w:rFonts w:ascii="Arial" w:hAnsi="Arial" w:cs="Arial"/>
                <w:sz w:val="22"/>
                <w:szCs w:val="22"/>
              </w:rPr>
              <w:t>over 2,600 households having no occupants with English as their main language.</w:t>
            </w:r>
            <w:r w:rsidRPr="00430D5E">
              <w:rPr>
                <w:rFonts w:ascii="Arial" w:hAnsi="Arial" w:cs="Arial"/>
                <w:color w:val="auto"/>
                <w:sz w:val="22"/>
                <w:szCs w:val="22"/>
              </w:rPr>
              <w:t xml:space="preserve"> </w:t>
            </w:r>
          </w:p>
          <w:p w14:paraId="253B2D37" w14:textId="77777777" w:rsidR="00CF073B" w:rsidRDefault="00CF073B" w:rsidP="00A52452">
            <w:pPr>
              <w:pStyle w:val="Default"/>
              <w:ind w:left="319"/>
              <w:rPr>
                <w:rFonts w:ascii="Arial" w:hAnsi="Arial" w:cs="Arial"/>
                <w:color w:val="auto"/>
                <w:sz w:val="22"/>
                <w:szCs w:val="22"/>
              </w:rPr>
            </w:pPr>
          </w:p>
          <w:p w14:paraId="6A426E6B" w14:textId="77777777" w:rsidR="00CF073B" w:rsidRDefault="00CF073B" w:rsidP="00CF073B">
            <w:pPr>
              <w:pStyle w:val="Default"/>
              <w:numPr>
                <w:ilvl w:val="0"/>
                <w:numId w:val="10"/>
              </w:numPr>
              <w:ind w:left="319" w:hanging="319"/>
              <w:rPr>
                <w:rFonts w:ascii="Arial" w:hAnsi="Arial" w:cs="Arial"/>
                <w:color w:val="auto"/>
                <w:sz w:val="22"/>
                <w:szCs w:val="22"/>
              </w:rPr>
            </w:pPr>
            <w:r w:rsidRPr="007920F0">
              <w:rPr>
                <w:rFonts w:ascii="Arial" w:hAnsi="Arial" w:cs="Arial"/>
                <w:color w:val="auto"/>
                <w:sz w:val="22"/>
                <w:szCs w:val="22"/>
              </w:rPr>
              <w:t xml:space="preserve">Alongside international migration, </w:t>
            </w:r>
            <w:r>
              <w:rPr>
                <w:rFonts w:ascii="Arial" w:hAnsi="Arial" w:cs="Arial"/>
                <w:color w:val="auto"/>
                <w:sz w:val="22"/>
                <w:szCs w:val="22"/>
              </w:rPr>
              <w:t xml:space="preserve">in recent years </w:t>
            </w:r>
            <w:r w:rsidRPr="007920F0">
              <w:rPr>
                <w:rFonts w:ascii="Arial" w:hAnsi="Arial" w:cs="Arial"/>
                <w:color w:val="auto"/>
                <w:sz w:val="22"/>
                <w:szCs w:val="22"/>
              </w:rPr>
              <w:t xml:space="preserve">the borough has experienced a large inflow of new residents from Outer London and Dartford, and a pattern of outward migration by existing residents, potentially a result of housing affordability and employment options. </w:t>
            </w:r>
          </w:p>
          <w:p w14:paraId="1192FE1A" w14:textId="77777777" w:rsidR="00CF073B" w:rsidRDefault="00CF073B" w:rsidP="00A52452">
            <w:pPr>
              <w:pStyle w:val="ListParagraph"/>
              <w:rPr>
                <w:rFonts w:cs="Arial"/>
              </w:rPr>
            </w:pPr>
          </w:p>
          <w:p w14:paraId="4F2AEF41" w14:textId="77777777" w:rsidR="00CF073B" w:rsidRDefault="00CF073B" w:rsidP="00CF073B">
            <w:pPr>
              <w:pStyle w:val="Default"/>
              <w:numPr>
                <w:ilvl w:val="0"/>
                <w:numId w:val="10"/>
              </w:numPr>
              <w:ind w:left="319" w:hanging="319"/>
              <w:rPr>
                <w:rFonts w:ascii="Arial" w:hAnsi="Arial" w:cs="Arial"/>
                <w:color w:val="auto"/>
                <w:sz w:val="22"/>
                <w:szCs w:val="22"/>
              </w:rPr>
            </w:pPr>
            <w:r w:rsidRPr="007920F0">
              <w:rPr>
                <w:rFonts w:ascii="Arial" w:hAnsi="Arial" w:cs="Arial"/>
                <w:color w:val="auto"/>
                <w:sz w:val="22"/>
                <w:szCs w:val="22"/>
              </w:rPr>
              <w:t xml:space="preserve">Gravesham presents the third highest population density in Kent, with 80% of residents living in Gravesend and Northfleet in the north of the borough (c20% of the area). </w:t>
            </w:r>
          </w:p>
          <w:p w14:paraId="3D297937" w14:textId="77777777" w:rsidR="00CF073B" w:rsidRPr="007920F0" w:rsidRDefault="00CF073B" w:rsidP="00A52452">
            <w:pPr>
              <w:pStyle w:val="Default"/>
              <w:rPr>
                <w:rFonts w:ascii="Arial" w:hAnsi="Arial" w:cs="Arial"/>
                <w:color w:val="auto"/>
                <w:sz w:val="22"/>
                <w:szCs w:val="22"/>
              </w:rPr>
            </w:pPr>
          </w:p>
        </w:tc>
      </w:tr>
      <w:tr w:rsidR="00CF073B" w:rsidRPr="00430D5E" w14:paraId="3C119BA3" w14:textId="77777777" w:rsidTr="00A52452">
        <w:tc>
          <w:tcPr>
            <w:tcW w:w="1526" w:type="dxa"/>
            <w:vAlign w:val="center"/>
          </w:tcPr>
          <w:p w14:paraId="7BAC4269" w14:textId="77777777" w:rsidR="00CF073B" w:rsidRPr="00430D5E" w:rsidRDefault="00CF073B" w:rsidP="00A52452">
            <w:pPr>
              <w:pStyle w:val="Default"/>
              <w:jc w:val="center"/>
              <w:rPr>
                <w:rFonts w:ascii="Arial" w:hAnsi="Arial" w:cs="Arial"/>
                <w:color w:val="auto"/>
                <w:sz w:val="22"/>
                <w:szCs w:val="22"/>
              </w:rPr>
            </w:pPr>
            <w:r w:rsidRPr="00430D5E">
              <w:rPr>
                <w:rFonts w:ascii="Arial" w:hAnsi="Arial" w:cs="Arial"/>
                <w:color w:val="auto"/>
                <w:sz w:val="22"/>
                <w:szCs w:val="22"/>
              </w:rPr>
              <w:t>Place</w:t>
            </w:r>
          </w:p>
        </w:tc>
        <w:tc>
          <w:tcPr>
            <w:tcW w:w="12422" w:type="dxa"/>
          </w:tcPr>
          <w:p w14:paraId="1A7CA7F7" w14:textId="77777777" w:rsidR="00CF073B" w:rsidRPr="00430D5E" w:rsidRDefault="00CF073B" w:rsidP="00CF073B">
            <w:pPr>
              <w:pStyle w:val="Default"/>
              <w:numPr>
                <w:ilvl w:val="0"/>
                <w:numId w:val="10"/>
              </w:numPr>
              <w:ind w:left="319" w:hanging="319"/>
              <w:rPr>
                <w:rFonts w:ascii="Arial" w:hAnsi="Arial" w:cs="Arial"/>
                <w:color w:val="auto"/>
                <w:sz w:val="22"/>
                <w:szCs w:val="22"/>
              </w:rPr>
            </w:pPr>
            <w:r>
              <w:rPr>
                <w:rFonts w:ascii="Arial" w:hAnsi="Arial" w:cs="Arial"/>
                <w:color w:val="auto"/>
                <w:sz w:val="22"/>
                <w:szCs w:val="22"/>
              </w:rPr>
              <w:t xml:space="preserve">Economically, </w:t>
            </w:r>
            <w:r w:rsidRPr="00430D5E">
              <w:rPr>
                <w:rFonts w:ascii="Arial" w:hAnsi="Arial" w:cs="Arial"/>
                <w:color w:val="auto"/>
                <w:sz w:val="22"/>
                <w:szCs w:val="22"/>
              </w:rPr>
              <w:t>Gravesham</w:t>
            </w:r>
            <w:r>
              <w:rPr>
                <w:rFonts w:ascii="Arial" w:hAnsi="Arial" w:cs="Arial"/>
                <w:color w:val="auto"/>
                <w:sz w:val="22"/>
                <w:szCs w:val="22"/>
              </w:rPr>
              <w:t xml:space="preserve"> presents </w:t>
            </w:r>
            <w:r w:rsidRPr="00430D5E">
              <w:rPr>
                <w:rFonts w:ascii="Arial" w:hAnsi="Arial" w:cs="Arial"/>
                <w:color w:val="auto"/>
                <w:sz w:val="22"/>
                <w:szCs w:val="22"/>
              </w:rPr>
              <w:t>challenges of low productivity, a high proportion of low pay jobs, low qualifications levels and above average unemployment levels, indicating issues with the mix of sectors and available employment.</w:t>
            </w:r>
          </w:p>
          <w:p w14:paraId="3B445EE9" w14:textId="77777777" w:rsidR="00CF073B" w:rsidRPr="00430D5E" w:rsidRDefault="00CF073B" w:rsidP="00A52452">
            <w:pPr>
              <w:pStyle w:val="Default"/>
              <w:ind w:left="319"/>
              <w:rPr>
                <w:rFonts w:ascii="Arial" w:hAnsi="Arial" w:cs="Arial"/>
                <w:color w:val="auto"/>
                <w:sz w:val="22"/>
                <w:szCs w:val="22"/>
              </w:rPr>
            </w:pPr>
          </w:p>
          <w:p w14:paraId="48F9E29E" w14:textId="77777777" w:rsidR="00CF073B" w:rsidRPr="00430D5E" w:rsidRDefault="00CF073B" w:rsidP="00CF073B">
            <w:pPr>
              <w:pStyle w:val="Default"/>
              <w:numPr>
                <w:ilvl w:val="0"/>
                <w:numId w:val="10"/>
              </w:numPr>
              <w:ind w:left="319" w:hanging="319"/>
              <w:rPr>
                <w:rFonts w:ascii="Arial" w:hAnsi="Arial" w:cs="Arial"/>
                <w:color w:val="auto"/>
                <w:sz w:val="22"/>
                <w:szCs w:val="22"/>
              </w:rPr>
            </w:pPr>
            <w:r w:rsidRPr="00430D5E">
              <w:rPr>
                <w:rFonts w:ascii="Arial" w:hAnsi="Arial" w:cs="Arial"/>
                <w:color w:val="auto"/>
                <w:sz w:val="22"/>
                <w:szCs w:val="22"/>
              </w:rPr>
              <w:t xml:space="preserve">Despite </w:t>
            </w:r>
            <w:bookmarkStart w:id="0" w:name="_Hlk152670377"/>
            <w:r w:rsidRPr="00430D5E">
              <w:rPr>
                <w:rFonts w:ascii="Arial" w:hAnsi="Arial" w:cs="Arial"/>
                <w:color w:val="auto"/>
                <w:sz w:val="22"/>
                <w:szCs w:val="22"/>
              </w:rPr>
              <w:t xml:space="preserve">comparatively strong performance at Key Stage 4 (GCSEs), Gravesham presents below average figures for residents with Level 3 </w:t>
            </w:r>
            <w:r>
              <w:rPr>
                <w:rFonts w:ascii="Arial" w:hAnsi="Arial" w:cs="Arial"/>
                <w:color w:val="auto"/>
                <w:sz w:val="22"/>
                <w:szCs w:val="22"/>
              </w:rPr>
              <w:t xml:space="preserve">(A-Level) </w:t>
            </w:r>
            <w:r w:rsidRPr="00430D5E">
              <w:rPr>
                <w:rFonts w:ascii="Arial" w:hAnsi="Arial" w:cs="Arial"/>
                <w:color w:val="auto"/>
                <w:sz w:val="22"/>
                <w:szCs w:val="22"/>
              </w:rPr>
              <w:t>and above qualifications</w:t>
            </w:r>
            <w:r>
              <w:rPr>
                <w:rFonts w:ascii="Arial" w:hAnsi="Arial" w:cs="Arial"/>
                <w:color w:val="auto"/>
                <w:sz w:val="22"/>
                <w:szCs w:val="22"/>
              </w:rPr>
              <w:t xml:space="preserve">. Over </w:t>
            </w:r>
            <w:r w:rsidRPr="00430D5E">
              <w:rPr>
                <w:rFonts w:ascii="Arial" w:hAnsi="Arial" w:cs="Arial"/>
                <w:color w:val="auto"/>
                <w:sz w:val="22"/>
                <w:szCs w:val="22"/>
              </w:rPr>
              <w:t xml:space="preserve">1 in 5 </w:t>
            </w:r>
            <w:r>
              <w:rPr>
                <w:rFonts w:ascii="Arial" w:hAnsi="Arial" w:cs="Arial"/>
                <w:color w:val="auto"/>
                <w:sz w:val="22"/>
                <w:szCs w:val="22"/>
              </w:rPr>
              <w:t xml:space="preserve">Gravesham </w:t>
            </w:r>
            <w:r w:rsidRPr="00430D5E">
              <w:rPr>
                <w:rFonts w:ascii="Arial" w:hAnsi="Arial" w:cs="Arial"/>
                <w:color w:val="auto"/>
                <w:sz w:val="22"/>
                <w:szCs w:val="22"/>
              </w:rPr>
              <w:t xml:space="preserve">residents </w:t>
            </w:r>
            <w:r>
              <w:rPr>
                <w:rFonts w:ascii="Arial" w:hAnsi="Arial" w:cs="Arial"/>
                <w:color w:val="auto"/>
                <w:sz w:val="22"/>
                <w:szCs w:val="22"/>
              </w:rPr>
              <w:t>have</w:t>
            </w:r>
            <w:r w:rsidRPr="00430D5E">
              <w:rPr>
                <w:rFonts w:ascii="Arial" w:hAnsi="Arial" w:cs="Arial"/>
                <w:color w:val="auto"/>
                <w:sz w:val="22"/>
                <w:szCs w:val="22"/>
              </w:rPr>
              <w:t xml:space="preserve"> no qualifications.  </w:t>
            </w:r>
            <w:bookmarkEnd w:id="0"/>
          </w:p>
          <w:p w14:paraId="3577964D" w14:textId="77777777" w:rsidR="00CF073B" w:rsidRPr="00430D5E" w:rsidRDefault="00CF073B" w:rsidP="00A52452">
            <w:pPr>
              <w:pStyle w:val="Default"/>
              <w:ind w:left="319"/>
              <w:rPr>
                <w:rFonts w:ascii="Arial" w:hAnsi="Arial" w:cs="Arial"/>
                <w:color w:val="auto"/>
                <w:sz w:val="22"/>
                <w:szCs w:val="22"/>
              </w:rPr>
            </w:pPr>
          </w:p>
          <w:p w14:paraId="47CDC5B7" w14:textId="77777777" w:rsidR="00CF073B" w:rsidRPr="00430D5E" w:rsidRDefault="00CF073B" w:rsidP="00CF073B">
            <w:pPr>
              <w:pStyle w:val="Default"/>
              <w:numPr>
                <w:ilvl w:val="0"/>
                <w:numId w:val="10"/>
              </w:numPr>
              <w:ind w:left="319" w:hanging="319"/>
              <w:rPr>
                <w:rFonts w:ascii="Arial" w:hAnsi="Arial" w:cs="Arial"/>
                <w:color w:val="auto"/>
                <w:sz w:val="22"/>
                <w:szCs w:val="22"/>
              </w:rPr>
            </w:pPr>
            <w:r>
              <w:rPr>
                <w:rFonts w:ascii="Arial" w:hAnsi="Arial" w:cs="Arial"/>
                <w:color w:val="auto"/>
                <w:sz w:val="22"/>
                <w:szCs w:val="22"/>
              </w:rPr>
              <w:t>Gravesham has significant health inequalities</w:t>
            </w:r>
            <w:r w:rsidRPr="00430D5E">
              <w:rPr>
                <w:rFonts w:ascii="Arial" w:hAnsi="Arial" w:cs="Arial"/>
                <w:color w:val="auto"/>
                <w:sz w:val="22"/>
                <w:szCs w:val="22"/>
              </w:rPr>
              <w:t xml:space="preserve">, with a clear north-south divide relating to child </w:t>
            </w:r>
            <w:r>
              <w:rPr>
                <w:rFonts w:ascii="Arial" w:hAnsi="Arial" w:cs="Arial"/>
                <w:color w:val="auto"/>
                <w:sz w:val="22"/>
                <w:szCs w:val="22"/>
              </w:rPr>
              <w:t>and a</w:t>
            </w:r>
            <w:r w:rsidRPr="00430D5E">
              <w:rPr>
                <w:rFonts w:ascii="Arial" w:hAnsi="Arial" w:cs="Arial"/>
                <w:color w:val="auto"/>
                <w:sz w:val="22"/>
                <w:szCs w:val="22"/>
              </w:rPr>
              <w:t>dult health</w:t>
            </w:r>
            <w:r>
              <w:rPr>
                <w:rFonts w:ascii="Arial" w:hAnsi="Arial" w:cs="Arial"/>
                <w:color w:val="auto"/>
                <w:sz w:val="22"/>
                <w:szCs w:val="22"/>
              </w:rPr>
              <w:t xml:space="preserve"> across;</w:t>
            </w:r>
            <w:r w:rsidRPr="00430D5E">
              <w:rPr>
                <w:rFonts w:ascii="Arial" w:hAnsi="Arial" w:cs="Arial"/>
                <w:color w:val="auto"/>
                <w:sz w:val="22"/>
                <w:szCs w:val="22"/>
              </w:rPr>
              <w:t xml:space="preserve"> life expectancy</w:t>
            </w:r>
            <w:r>
              <w:rPr>
                <w:rFonts w:ascii="Arial" w:hAnsi="Arial" w:cs="Arial"/>
                <w:color w:val="auto"/>
                <w:sz w:val="22"/>
                <w:szCs w:val="22"/>
              </w:rPr>
              <w:t>, physical activity,</w:t>
            </w:r>
            <w:r w:rsidRPr="00430D5E">
              <w:rPr>
                <w:rFonts w:ascii="Arial" w:hAnsi="Arial" w:cs="Arial"/>
                <w:color w:val="auto"/>
                <w:sz w:val="22"/>
                <w:szCs w:val="22"/>
              </w:rPr>
              <w:t xml:space="preserve"> and personal wellbeing outcomes, including wider health determinants such as crime levels. </w:t>
            </w:r>
          </w:p>
          <w:p w14:paraId="3C26CABB" w14:textId="77777777" w:rsidR="00CF073B" w:rsidRPr="00430D5E" w:rsidRDefault="00CF073B" w:rsidP="00A52452">
            <w:pPr>
              <w:pStyle w:val="Default"/>
              <w:ind w:left="319"/>
              <w:rPr>
                <w:rFonts w:ascii="Arial" w:hAnsi="Arial" w:cs="Arial"/>
                <w:color w:val="auto"/>
                <w:sz w:val="22"/>
                <w:szCs w:val="22"/>
              </w:rPr>
            </w:pPr>
          </w:p>
          <w:p w14:paraId="373C4C30" w14:textId="77777777" w:rsidR="00CF073B" w:rsidRPr="00430D5E" w:rsidRDefault="00CF073B" w:rsidP="00CF073B">
            <w:pPr>
              <w:pStyle w:val="Default"/>
              <w:numPr>
                <w:ilvl w:val="0"/>
                <w:numId w:val="10"/>
              </w:numPr>
              <w:ind w:left="319" w:hanging="319"/>
              <w:rPr>
                <w:rFonts w:ascii="Arial" w:hAnsi="Arial" w:cs="Arial"/>
                <w:color w:val="auto"/>
                <w:sz w:val="22"/>
                <w:szCs w:val="22"/>
              </w:rPr>
            </w:pPr>
            <w:r w:rsidRPr="00430D5E">
              <w:rPr>
                <w:rFonts w:ascii="Arial" w:hAnsi="Arial" w:cs="Arial"/>
                <w:color w:val="auto"/>
                <w:sz w:val="22"/>
                <w:szCs w:val="22"/>
              </w:rPr>
              <w:t xml:space="preserve">Over 40% of households live in relative poverty, with deprivation largely concentrated in the northern parts of Gravesham. </w:t>
            </w:r>
          </w:p>
          <w:p w14:paraId="1F43A8A1" w14:textId="77777777" w:rsidR="00CF073B" w:rsidRPr="00430D5E" w:rsidRDefault="00CF073B" w:rsidP="00A52452">
            <w:pPr>
              <w:pStyle w:val="Default"/>
              <w:ind w:left="319"/>
              <w:rPr>
                <w:rFonts w:ascii="Arial" w:hAnsi="Arial" w:cs="Arial"/>
                <w:color w:val="auto"/>
                <w:sz w:val="22"/>
                <w:szCs w:val="22"/>
              </w:rPr>
            </w:pPr>
          </w:p>
          <w:p w14:paraId="01A8DE24" w14:textId="77777777" w:rsidR="00CF073B" w:rsidRDefault="00CF073B" w:rsidP="00CF073B">
            <w:pPr>
              <w:pStyle w:val="Default"/>
              <w:numPr>
                <w:ilvl w:val="0"/>
                <w:numId w:val="10"/>
              </w:numPr>
              <w:ind w:left="319" w:hanging="319"/>
              <w:rPr>
                <w:rFonts w:ascii="Arial" w:hAnsi="Arial" w:cs="Arial"/>
                <w:color w:val="auto"/>
                <w:sz w:val="22"/>
                <w:szCs w:val="22"/>
              </w:rPr>
            </w:pPr>
            <w:r w:rsidRPr="00430D5E">
              <w:rPr>
                <w:rFonts w:ascii="Arial" w:hAnsi="Arial" w:cs="Arial"/>
                <w:color w:val="auto"/>
                <w:sz w:val="22"/>
                <w:szCs w:val="22"/>
              </w:rPr>
              <w:t>Historical housing delivery indicates that the borough is not keeping up with demand, presenting challenges to housing affordability, both in terms of private and rental markets, and status, with Gravesham having Kent’s highest proportion of homes over-occupied.</w:t>
            </w:r>
          </w:p>
          <w:p w14:paraId="465EC0A7" w14:textId="77777777" w:rsidR="00CF073B" w:rsidRPr="00430D5E" w:rsidRDefault="00CF073B" w:rsidP="00A52452">
            <w:pPr>
              <w:pStyle w:val="Default"/>
              <w:rPr>
                <w:rFonts w:ascii="Arial" w:hAnsi="Arial" w:cs="Arial"/>
                <w:color w:val="auto"/>
                <w:sz w:val="22"/>
                <w:szCs w:val="22"/>
              </w:rPr>
            </w:pPr>
          </w:p>
        </w:tc>
      </w:tr>
    </w:tbl>
    <w:p w14:paraId="0A8CA0C6" w14:textId="77777777" w:rsidR="00CF073B" w:rsidRDefault="00CF073B" w:rsidP="00CF073B">
      <w:pPr>
        <w:pStyle w:val="Default"/>
        <w:rPr>
          <w:rFonts w:ascii="Century Gothic" w:hAnsi="Century Gothic" w:cs="Century Gothic"/>
          <w:color w:val="auto"/>
          <w:sz w:val="23"/>
          <w:szCs w:val="23"/>
        </w:rPr>
      </w:pPr>
    </w:p>
    <w:p w14:paraId="70A6CB23" w14:textId="6F160784" w:rsidR="00F27970" w:rsidRDefault="00F27970" w:rsidP="00F27970">
      <w:pPr>
        <w:autoSpaceDE w:val="0"/>
        <w:autoSpaceDN w:val="0"/>
        <w:adjustRightInd w:val="0"/>
        <w:spacing w:after="0" w:line="240" w:lineRule="auto"/>
        <w:rPr>
          <w:rFonts w:ascii="Arial" w:hAnsi="Arial" w:cs="Arial"/>
          <w:color w:val="000000"/>
        </w:rPr>
      </w:pPr>
    </w:p>
    <w:p w14:paraId="3B2B47C5" w14:textId="066D167A" w:rsidR="00CF073B" w:rsidRDefault="00CF073B" w:rsidP="00F27970">
      <w:pPr>
        <w:autoSpaceDE w:val="0"/>
        <w:autoSpaceDN w:val="0"/>
        <w:adjustRightInd w:val="0"/>
        <w:spacing w:after="0" w:line="240" w:lineRule="auto"/>
        <w:rPr>
          <w:rFonts w:ascii="Arial" w:hAnsi="Arial" w:cs="Arial"/>
          <w:color w:val="000000"/>
        </w:rPr>
      </w:pPr>
    </w:p>
    <w:p w14:paraId="22040BDB" w14:textId="1047999E" w:rsidR="00CF073B" w:rsidRDefault="00CF073B" w:rsidP="00F27970">
      <w:pPr>
        <w:autoSpaceDE w:val="0"/>
        <w:autoSpaceDN w:val="0"/>
        <w:adjustRightInd w:val="0"/>
        <w:spacing w:after="0" w:line="240" w:lineRule="auto"/>
        <w:rPr>
          <w:rFonts w:ascii="Arial" w:hAnsi="Arial" w:cs="Arial"/>
          <w:color w:val="000000"/>
        </w:rPr>
      </w:pPr>
    </w:p>
    <w:p w14:paraId="25DCF9B3" w14:textId="2963FD74" w:rsidR="00CF073B" w:rsidRDefault="00CF073B" w:rsidP="00F27970">
      <w:pPr>
        <w:autoSpaceDE w:val="0"/>
        <w:autoSpaceDN w:val="0"/>
        <w:adjustRightInd w:val="0"/>
        <w:spacing w:after="0" w:line="240" w:lineRule="auto"/>
        <w:rPr>
          <w:rFonts w:ascii="Arial" w:hAnsi="Arial" w:cs="Arial"/>
          <w:color w:val="000000"/>
        </w:rPr>
      </w:pPr>
    </w:p>
    <w:p w14:paraId="7BFF122B" w14:textId="03690352" w:rsidR="00CF073B" w:rsidRDefault="00CF073B" w:rsidP="00F27970">
      <w:pPr>
        <w:autoSpaceDE w:val="0"/>
        <w:autoSpaceDN w:val="0"/>
        <w:adjustRightInd w:val="0"/>
        <w:spacing w:after="0" w:line="240" w:lineRule="auto"/>
        <w:rPr>
          <w:rFonts w:ascii="Arial" w:hAnsi="Arial" w:cs="Arial"/>
          <w:color w:val="000000"/>
        </w:rPr>
      </w:pPr>
    </w:p>
    <w:p w14:paraId="48195ED8" w14:textId="77777777" w:rsidR="00995FDC" w:rsidRDefault="00995FDC" w:rsidP="00995FDC">
      <w:pPr>
        <w:pStyle w:val="Default"/>
        <w:rPr>
          <w:rFonts w:ascii="Arial" w:eastAsia="Arial" w:hAnsi="Arial" w:cs="Arial"/>
          <w:color w:val="365F91" w:themeColor="accent1" w:themeShade="BF"/>
          <w:sz w:val="26"/>
          <w:szCs w:val="26"/>
        </w:rPr>
      </w:pPr>
      <w:r>
        <w:rPr>
          <w:rFonts w:ascii="Arial" w:eastAsia="Arial" w:hAnsi="Arial" w:cs="Arial"/>
          <w:color w:val="365F91" w:themeColor="accent1" w:themeShade="BF"/>
          <w:sz w:val="26"/>
          <w:szCs w:val="26"/>
        </w:rPr>
        <w:lastRenderedPageBreak/>
        <w:t>3.</w:t>
      </w:r>
      <w:r w:rsidRPr="00035718">
        <w:rPr>
          <w:rFonts w:ascii="Arial" w:eastAsia="Arial" w:hAnsi="Arial" w:cs="Arial"/>
          <w:color w:val="365F91" w:themeColor="accent1" w:themeShade="BF"/>
          <w:sz w:val="26"/>
          <w:szCs w:val="26"/>
        </w:rPr>
        <w:t xml:space="preserve"> </w:t>
      </w:r>
      <w:r>
        <w:rPr>
          <w:rFonts w:ascii="Arial" w:eastAsia="Arial" w:hAnsi="Arial" w:cs="Arial"/>
          <w:color w:val="365F91" w:themeColor="accent1" w:themeShade="BF"/>
          <w:sz w:val="26"/>
          <w:szCs w:val="26"/>
        </w:rPr>
        <w:t>Scorecard</w:t>
      </w:r>
    </w:p>
    <w:p w14:paraId="10585000" w14:textId="77777777" w:rsidR="00995FDC" w:rsidRDefault="00995FDC" w:rsidP="00995FDC">
      <w:pPr>
        <w:pStyle w:val="Default"/>
        <w:rPr>
          <w:rFonts w:ascii="Arial" w:eastAsia="Arial" w:hAnsi="Arial" w:cs="Arial"/>
          <w:color w:val="365F91" w:themeColor="accent1" w:themeShade="BF"/>
          <w:sz w:val="26"/>
          <w:szCs w:val="26"/>
        </w:rPr>
      </w:pPr>
    </w:p>
    <w:p w14:paraId="2701C713" w14:textId="77777777" w:rsidR="00995FDC" w:rsidRPr="00995FDC" w:rsidRDefault="00995FDC" w:rsidP="00995FDC">
      <w:pPr>
        <w:autoSpaceDE w:val="0"/>
        <w:autoSpaceDN w:val="0"/>
        <w:adjustRightInd w:val="0"/>
        <w:spacing w:after="0" w:line="240" w:lineRule="auto"/>
        <w:rPr>
          <w:rFonts w:ascii="Arial" w:hAnsi="Arial" w:cs="Arial"/>
          <w:color w:val="1C1E1D"/>
        </w:rPr>
      </w:pPr>
      <w:r w:rsidRPr="00995FDC">
        <w:rPr>
          <w:rFonts w:ascii="Arial" w:hAnsi="Arial" w:cs="Arial"/>
          <w:color w:val="000000"/>
        </w:rPr>
        <w:t>The following scorecard presents a headline selection of key social, public health, housing and wider place-based metrics used in this document, to provide a snapshot ‘health of the borough’ profile</w:t>
      </w:r>
      <w:r w:rsidRPr="00995FDC">
        <w:rPr>
          <w:rFonts w:ascii="Arial" w:hAnsi="Arial" w:cs="Arial"/>
          <w:color w:val="1C1E1D"/>
        </w:rPr>
        <w:t>.</w:t>
      </w:r>
    </w:p>
    <w:p w14:paraId="0A3EEACA" w14:textId="77777777" w:rsidR="00995FDC" w:rsidRPr="0010769F" w:rsidRDefault="00995FDC" w:rsidP="00995FDC">
      <w:pPr>
        <w:pStyle w:val="Default"/>
        <w:rPr>
          <w:rFonts w:ascii="Arial" w:eastAsia="Arial" w:hAnsi="Arial" w:cs="Arial"/>
          <w:color w:val="365F91" w:themeColor="accent1" w:themeShade="BF"/>
          <w:sz w:val="22"/>
          <w:szCs w:val="22"/>
        </w:rPr>
      </w:pPr>
    </w:p>
    <w:p w14:paraId="2AC1F46B" w14:textId="77777777" w:rsidR="00995FDC" w:rsidRDefault="00995FDC" w:rsidP="00995FDC">
      <w:pPr>
        <w:pStyle w:val="Default"/>
        <w:rPr>
          <w:rFonts w:ascii="Arial" w:eastAsia="Arial" w:hAnsi="Arial" w:cs="Arial"/>
          <w:color w:val="365F91" w:themeColor="accent1" w:themeShade="BF"/>
          <w:sz w:val="26"/>
          <w:szCs w:val="26"/>
        </w:rPr>
      </w:pPr>
    </w:p>
    <w:tbl>
      <w:tblPr>
        <w:tblStyle w:val="TableGrid"/>
        <w:tblW w:w="16302" w:type="dxa"/>
        <w:tblInd w:w="-1134" w:type="dxa"/>
        <w:tblLook w:val="04A0" w:firstRow="1" w:lastRow="0" w:firstColumn="1" w:lastColumn="0" w:noHBand="0" w:noVBand="1"/>
      </w:tblPr>
      <w:tblGrid>
        <w:gridCol w:w="1652"/>
        <w:gridCol w:w="1232"/>
        <w:gridCol w:w="1696"/>
        <w:gridCol w:w="1152"/>
        <w:gridCol w:w="1220"/>
        <w:gridCol w:w="1072"/>
        <w:gridCol w:w="890"/>
        <w:gridCol w:w="1354"/>
        <w:gridCol w:w="1378"/>
        <w:gridCol w:w="1280"/>
        <w:gridCol w:w="1170"/>
        <w:gridCol w:w="1097"/>
        <w:gridCol w:w="1109"/>
      </w:tblGrid>
      <w:tr w:rsidR="00995FDC" w14:paraId="31A06570" w14:textId="77777777" w:rsidTr="00995FDC">
        <w:tc>
          <w:tcPr>
            <w:tcW w:w="1768" w:type="dxa"/>
            <w:tcBorders>
              <w:top w:val="nil"/>
              <w:left w:val="nil"/>
            </w:tcBorders>
          </w:tcPr>
          <w:p w14:paraId="6DCA66B7" w14:textId="77777777" w:rsidR="00995FDC" w:rsidRPr="003D5991" w:rsidRDefault="00995FDC" w:rsidP="00A52452">
            <w:pPr>
              <w:pStyle w:val="Default"/>
              <w:rPr>
                <w:rFonts w:ascii="Arial" w:eastAsia="Arial" w:hAnsi="Arial" w:cs="Arial"/>
                <w:color w:val="000000" w:themeColor="text1"/>
                <w:sz w:val="22"/>
                <w:szCs w:val="22"/>
              </w:rPr>
            </w:pPr>
          </w:p>
        </w:tc>
        <w:tc>
          <w:tcPr>
            <w:tcW w:w="1232" w:type="dxa"/>
          </w:tcPr>
          <w:p w14:paraId="08D35D04" w14:textId="77777777" w:rsidR="00995FDC" w:rsidRPr="003D5991" w:rsidRDefault="00995FDC" w:rsidP="00A52452">
            <w:pPr>
              <w:pStyle w:val="Default"/>
              <w:jc w:val="center"/>
              <w:rPr>
                <w:rFonts w:ascii="Arial" w:eastAsia="Arial" w:hAnsi="Arial" w:cs="Arial"/>
                <w:color w:val="000000" w:themeColor="text1"/>
                <w:sz w:val="22"/>
                <w:szCs w:val="22"/>
              </w:rPr>
            </w:pPr>
            <w:r w:rsidRPr="003D5991">
              <w:rPr>
                <w:rFonts w:ascii="Arial" w:eastAsia="Arial" w:hAnsi="Arial" w:cs="Arial"/>
                <w:color w:val="000000" w:themeColor="text1"/>
                <w:sz w:val="22"/>
                <w:szCs w:val="22"/>
              </w:rPr>
              <w:t>Safety</w:t>
            </w:r>
          </w:p>
        </w:tc>
        <w:tc>
          <w:tcPr>
            <w:tcW w:w="5914" w:type="dxa"/>
            <w:gridSpan w:val="5"/>
          </w:tcPr>
          <w:p w14:paraId="2FA41089" w14:textId="77777777" w:rsidR="00995FDC" w:rsidRPr="003D5991" w:rsidRDefault="00995FDC" w:rsidP="00A52452">
            <w:pPr>
              <w:pStyle w:val="Default"/>
              <w:jc w:val="center"/>
              <w:rPr>
                <w:rFonts w:ascii="Arial" w:eastAsia="Arial" w:hAnsi="Arial" w:cs="Arial"/>
                <w:color w:val="000000" w:themeColor="text1"/>
                <w:sz w:val="22"/>
                <w:szCs w:val="22"/>
              </w:rPr>
            </w:pPr>
            <w:r w:rsidRPr="003D5991">
              <w:rPr>
                <w:rFonts w:ascii="Arial" w:eastAsia="Arial" w:hAnsi="Arial" w:cs="Arial"/>
                <w:color w:val="000000" w:themeColor="text1"/>
                <w:sz w:val="22"/>
                <w:szCs w:val="22"/>
              </w:rPr>
              <w:t>Economy</w:t>
            </w:r>
          </w:p>
        </w:tc>
        <w:tc>
          <w:tcPr>
            <w:tcW w:w="2732" w:type="dxa"/>
            <w:gridSpan w:val="2"/>
          </w:tcPr>
          <w:p w14:paraId="441B2672" w14:textId="77777777" w:rsidR="00995FDC" w:rsidRPr="003D5991"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Education</w:t>
            </w:r>
          </w:p>
        </w:tc>
        <w:tc>
          <w:tcPr>
            <w:tcW w:w="2450" w:type="dxa"/>
            <w:gridSpan w:val="2"/>
          </w:tcPr>
          <w:p w14:paraId="609EB29D" w14:textId="77777777" w:rsidR="00995FDC" w:rsidRPr="003D5991"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Health</w:t>
            </w:r>
          </w:p>
        </w:tc>
        <w:tc>
          <w:tcPr>
            <w:tcW w:w="2206" w:type="dxa"/>
            <w:gridSpan w:val="2"/>
          </w:tcPr>
          <w:p w14:paraId="43370AA6" w14:textId="77777777" w:rsidR="00995FDC"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 xml:space="preserve">Housing </w:t>
            </w:r>
          </w:p>
        </w:tc>
      </w:tr>
      <w:tr w:rsidR="00995FDC" w14:paraId="0D3B03D6" w14:textId="77777777" w:rsidTr="00995FDC">
        <w:tc>
          <w:tcPr>
            <w:tcW w:w="1768" w:type="dxa"/>
            <w:vAlign w:val="center"/>
          </w:tcPr>
          <w:p w14:paraId="71603913" w14:textId="77777777" w:rsidR="00995FDC" w:rsidRPr="003D5991" w:rsidRDefault="00995FDC" w:rsidP="00A52452">
            <w:pPr>
              <w:pStyle w:val="Default"/>
              <w:rPr>
                <w:rFonts w:ascii="Arial" w:eastAsia="Arial" w:hAnsi="Arial" w:cs="Arial"/>
                <w:color w:val="000000" w:themeColor="text1"/>
                <w:sz w:val="22"/>
                <w:szCs w:val="22"/>
              </w:rPr>
            </w:pPr>
            <w:r w:rsidRPr="003D5991">
              <w:rPr>
                <w:rFonts w:ascii="Arial" w:eastAsia="Arial" w:hAnsi="Arial" w:cs="Arial"/>
                <w:color w:val="000000" w:themeColor="text1"/>
                <w:sz w:val="22"/>
                <w:szCs w:val="22"/>
              </w:rPr>
              <w:t>District</w:t>
            </w:r>
          </w:p>
        </w:tc>
        <w:tc>
          <w:tcPr>
            <w:tcW w:w="1232" w:type="dxa"/>
            <w:vAlign w:val="center"/>
          </w:tcPr>
          <w:p w14:paraId="137A815F" w14:textId="77777777" w:rsidR="00995FDC" w:rsidRDefault="00995FDC" w:rsidP="00A52452">
            <w:pPr>
              <w:pStyle w:val="Default"/>
              <w:jc w:val="center"/>
              <w:rPr>
                <w:rFonts w:ascii="Arial" w:eastAsia="Arial" w:hAnsi="Arial" w:cs="Arial"/>
                <w:color w:val="000000" w:themeColor="text1"/>
                <w:sz w:val="22"/>
                <w:szCs w:val="22"/>
              </w:rPr>
            </w:pPr>
            <w:r w:rsidRPr="007D26FA">
              <w:rPr>
                <w:rFonts w:ascii="Arial" w:eastAsia="Arial" w:hAnsi="Arial" w:cs="Arial"/>
                <w:color w:val="000000" w:themeColor="text1"/>
                <w:sz w:val="22"/>
                <w:szCs w:val="22"/>
              </w:rPr>
              <w:t>Crime</w:t>
            </w:r>
            <w:r>
              <w:rPr>
                <w:rFonts w:ascii="Arial" w:eastAsia="Arial" w:hAnsi="Arial" w:cs="Arial"/>
                <w:color w:val="000000" w:themeColor="text1"/>
                <w:sz w:val="22"/>
                <w:szCs w:val="22"/>
              </w:rPr>
              <w:t>s</w:t>
            </w:r>
            <w:r w:rsidRPr="007D26FA">
              <w:rPr>
                <w:rFonts w:ascii="Arial" w:eastAsia="Arial" w:hAnsi="Arial" w:cs="Arial"/>
                <w:color w:val="000000" w:themeColor="text1"/>
                <w:sz w:val="22"/>
                <w:szCs w:val="22"/>
              </w:rPr>
              <w:t>/</w:t>
            </w:r>
          </w:p>
          <w:p w14:paraId="5DC1C98A" w14:textId="77777777" w:rsidR="00995FDC" w:rsidRPr="007D26FA" w:rsidRDefault="00995FDC" w:rsidP="00A52452">
            <w:pPr>
              <w:pStyle w:val="Default"/>
              <w:jc w:val="center"/>
              <w:rPr>
                <w:rFonts w:ascii="Arial" w:eastAsia="Arial" w:hAnsi="Arial" w:cs="Arial"/>
                <w:color w:val="000000" w:themeColor="text1"/>
                <w:sz w:val="22"/>
                <w:szCs w:val="22"/>
              </w:rPr>
            </w:pPr>
            <w:r w:rsidRPr="007D26FA">
              <w:rPr>
                <w:rFonts w:ascii="Arial" w:eastAsia="Arial" w:hAnsi="Arial" w:cs="Arial"/>
                <w:color w:val="000000" w:themeColor="text1"/>
                <w:sz w:val="22"/>
                <w:szCs w:val="22"/>
              </w:rPr>
              <w:t>1,000 population</w:t>
            </w:r>
          </w:p>
        </w:tc>
        <w:tc>
          <w:tcPr>
            <w:tcW w:w="1536" w:type="dxa"/>
            <w:vAlign w:val="center"/>
          </w:tcPr>
          <w:p w14:paraId="6E5D9D87" w14:textId="77777777" w:rsidR="00995FDC" w:rsidRPr="007D26FA"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U</w:t>
            </w:r>
            <w:r w:rsidRPr="007D26FA">
              <w:rPr>
                <w:rFonts w:ascii="Arial" w:eastAsia="Arial" w:hAnsi="Arial" w:cs="Arial"/>
                <w:color w:val="000000" w:themeColor="text1"/>
                <w:sz w:val="22"/>
                <w:szCs w:val="22"/>
              </w:rPr>
              <w:t>nemploy</w:t>
            </w:r>
            <w:r>
              <w:rPr>
                <w:rFonts w:ascii="Arial" w:eastAsia="Arial" w:hAnsi="Arial" w:cs="Arial"/>
                <w:color w:val="000000" w:themeColor="text1"/>
                <w:sz w:val="22"/>
                <w:szCs w:val="22"/>
              </w:rPr>
              <w:t>ment rate</w:t>
            </w:r>
          </w:p>
        </w:tc>
        <w:tc>
          <w:tcPr>
            <w:tcW w:w="1196" w:type="dxa"/>
            <w:vAlign w:val="center"/>
          </w:tcPr>
          <w:p w14:paraId="1871418D" w14:textId="77777777" w:rsidR="00995FDC" w:rsidRPr="004A4206" w:rsidRDefault="00995FDC" w:rsidP="00A52452">
            <w:pPr>
              <w:pStyle w:val="Default"/>
              <w:jc w:val="center"/>
              <w:rPr>
                <w:rFonts w:ascii="Arial" w:eastAsia="Arial" w:hAnsi="Arial" w:cs="Arial"/>
                <w:color w:val="000000" w:themeColor="text1"/>
                <w:sz w:val="22"/>
                <w:szCs w:val="22"/>
              </w:rPr>
            </w:pPr>
            <w:r w:rsidRPr="004A4206">
              <w:rPr>
                <w:rFonts w:ascii="Arial" w:eastAsia="Arial" w:hAnsi="Arial" w:cs="Arial"/>
                <w:color w:val="000000" w:themeColor="text1"/>
                <w:sz w:val="22"/>
                <w:szCs w:val="22"/>
              </w:rPr>
              <w:t>Average full-time weekly resident wages</w:t>
            </w:r>
          </w:p>
        </w:tc>
        <w:tc>
          <w:tcPr>
            <w:tcW w:w="1220" w:type="dxa"/>
            <w:vAlign w:val="center"/>
          </w:tcPr>
          <w:p w14:paraId="4BEC7B4A" w14:textId="77777777" w:rsidR="00995FDC" w:rsidRDefault="00995FDC" w:rsidP="00A52452">
            <w:pPr>
              <w:pStyle w:val="Default"/>
              <w:jc w:val="center"/>
              <w:rPr>
                <w:rFonts w:ascii="Arial" w:eastAsia="Arial" w:hAnsi="Arial" w:cs="Arial"/>
                <w:color w:val="000000" w:themeColor="text1"/>
                <w:sz w:val="22"/>
                <w:szCs w:val="22"/>
              </w:rPr>
            </w:pPr>
            <w:r w:rsidRPr="004A4206">
              <w:rPr>
                <w:rFonts w:ascii="Arial" w:eastAsia="Arial" w:hAnsi="Arial" w:cs="Arial"/>
                <w:color w:val="000000" w:themeColor="text1"/>
                <w:sz w:val="22"/>
                <w:szCs w:val="22"/>
              </w:rPr>
              <w:t xml:space="preserve">Enterprise growth </w:t>
            </w:r>
            <w:r>
              <w:rPr>
                <w:rFonts w:ascii="Arial" w:eastAsia="Arial" w:hAnsi="Arial" w:cs="Arial"/>
                <w:color w:val="000000" w:themeColor="text1"/>
                <w:sz w:val="22"/>
                <w:szCs w:val="22"/>
              </w:rPr>
              <w:t>rate</w:t>
            </w:r>
          </w:p>
          <w:p w14:paraId="4A42A125" w14:textId="77777777" w:rsidR="00995FDC" w:rsidRPr="004A4206" w:rsidRDefault="00995FDC" w:rsidP="00A52452">
            <w:pPr>
              <w:pStyle w:val="Default"/>
              <w:jc w:val="center"/>
              <w:rPr>
                <w:rFonts w:ascii="Arial" w:eastAsia="Arial" w:hAnsi="Arial" w:cs="Arial"/>
                <w:color w:val="000000" w:themeColor="text1"/>
                <w:sz w:val="22"/>
                <w:szCs w:val="22"/>
              </w:rPr>
            </w:pPr>
            <w:r w:rsidRPr="004A4206">
              <w:rPr>
                <w:rFonts w:ascii="Arial" w:eastAsia="Arial" w:hAnsi="Arial" w:cs="Arial"/>
                <w:color w:val="000000" w:themeColor="text1"/>
                <w:sz w:val="22"/>
                <w:szCs w:val="22"/>
              </w:rPr>
              <w:t>2010-23</w:t>
            </w:r>
          </w:p>
        </w:tc>
        <w:tc>
          <w:tcPr>
            <w:tcW w:w="1072" w:type="dxa"/>
            <w:vAlign w:val="center"/>
          </w:tcPr>
          <w:p w14:paraId="792CEB6B" w14:textId="77777777" w:rsidR="00995FDC"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Job Density (jobs/</w:t>
            </w:r>
          </w:p>
          <w:p w14:paraId="4B50660D" w14:textId="77777777" w:rsidR="00995FDC" w:rsidRPr="004A4206"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resident)</w:t>
            </w:r>
          </w:p>
        </w:tc>
        <w:tc>
          <w:tcPr>
            <w:tcW w:w="890" w:type="dxa"/>
            <w:vAlign w:val="center"/>
          </w:tcPr>
          <w:p w14:paraId="6D2AB56D" w14:textId="77777777" w:rsidR="00995FDC" w:rsidRDefault="00995FDC" w:rsidP="00A52452">
            <w:pPr>
              <w:pStyle w:val="Default"/>
              <w:jc w:val="center"/>
              <w:rPr>
                <w:rFonts w:ascii="Arial" w:eastAsia="Arial" w:hAnsi="Arial" w:cs="Arial"/>
                <w:color w:val="000000" w:themeColor="text1"/>
                <w:sz w:val="22"/>
                <w:szCs w:val="22"/>
              </w:rPr>
            </w:pPr>
            <w:r w:rsidRPr="0054489C">
              <w:rPr>
                <w:rFonts w:ascii="Arial" w:eastAsia="Arial" w:hAnsi="Arial" w:cs="Arial"/>
                <w:color w:val="000000" w:themeColor="text1"/>
                <w:sz w:val="22"/>
                <w:szCs w:val="22"/>
              </w:rPr>
              <w:t>GVA/</w:t>
            </w:r>
          </w:p>
          <w:p w14:paraId="6667D610" w14:textId="2D5691F8" w:rsidR="00995FDC" w:rsidRPr="0054489C" w:rsidRDefault="00995FDC" w:rsidP="00A52452">
            <w:pPr>
              <w:pStyle w:val="Default"/>
              <w:jc w:val="center"/>
              <w:rPr>
                <w:rFonts w:ascii="Arial" w:eastAsia="Arial" w:hAnsi="Arial" w:cs="Arial"/>
                <w:color w:val="000000" w:themeColor="text1"/>
                <w:sz w:val="22"/>
                <w:szCs w:val="22"/>
              </w:rPr>
            </w:pPr>
            <w:r w:rsidRPr="0054489C">
              <w:rPr>
                <w:rFonts w:ascii="Arial" w:eastAsia="Arial" w:hAnsi="Arial" w:cs="Arial"/>
                <w:color w:val="000000" w:themeColor="text1"/>
                <w:sz w:val="22"/>
                <w:szCs w:val="22"/>
              </w:rPr>
              <w:t>hour</w:t>
            </w:r>
          </w:p>
        </w:tc>
        <w:tc>
          <w:tcPr>
            <w:tcW w:w="1354" w:type="dxa"/>
            <w:vAlign w:val="center"/>
          </w:tcPr>
          <w:p w14:paraId="388C1FBF" w14:textId="77777777" w:rsidR="00995FDC" w:rsidRDefault="00995FDC" w:rsidP="00A52452">
            <w:pPr>
              <w:pStyle w:val="Default"/>
              <w:jc w:val="center"/>
              <w:rPr>
                <w:rFonts w:ascii="Arial" w:eastAsia="Arial" w:hAnsi="Arial" w:cs="Arial"/>
                <w:color w:val="000000" w:themeColor="text1"/>
                <w:sz w:val="22"/>
                <w:szCs w:val="22"/>
              </w:rPr>
            </w:pPr>
            <w:r w:rsidRPr="0054489C">
              <w:rPr>
                <w:rFonts w:ascii="Arial" w:eastAsia="Arial" w:hAnsi="Arial" w:cs="Arial"/>
                <w:color w:val="000000" w:themeColor="text1"/>
                <w:sz w:val="22"/>
                <w:szCs w:val="22"/>
              </w:rPr>
              <w:t>% of secondary schools rated as good/ outstanding</w:t>
            </w:r>
          </w:p>
        </w:tc>
        <w:tc>
          <w:tcPr>
            <w:tcW w:w="1378" w:type="dxa"/>
            <w:vAlign w:val="center"/>
          </w:tcPr>
          <w:p w14:paraId="72AAA67E" w14:textId="77777777" w:rsidR="00995FDC" w:rsidRPr="003D5991"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 of residents with Level 4 and above qualification</w:t>
            </w:r>
          </w:p>
        </w:tc>
        <w:tc>
          <w:tcPr>
            <w:tcW w:w="1280" w:type="dxa"/>
            <w:vAlign w:val="center"/>
          </w:tcPr>
          <w:p w14:paraId="17C23440" w14:textId="77777777" w:rsidR="00995FDC" w:rsidRPr="003D5991"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 of adults overweight or obese</w:t>
            </w:r>
          </w:p>
        </w:tc>
        <w:tc>
          <w:tcPr>
            <w:tcW w:w="1170" w:type="dxa"/>
            <w:vAlign w:val="center"/>
          </w:tcPr>
          <w:p w14:paraId="105B3420" w14:textId="77777777" w:rsidR="00995FDC" w:rsidRPr="003D5991"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 of physically inactive adults</w:t>
            </w:r>
          </w:p>
        </w:tc>
        <w:tc>
          <w:tcPr>
            <w:tcW w:w="1097" w:type="dxa"/>
            <w:vAlign w:val="center"/>
          </w:tcPr>
          <w:p w14:paraId="15EB5DEF" w14:textId="77777777" w:rsidR="00995FDC" w:rsidRPr="003D5991"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 of homes over-occupied</w:t>
            </w:r>
          </w:p>
        </w:tc>
        <w:tc>
          <w:tcPr>
            <w:tcW w:w="1109" w:type="dxa"/>
            <w:vAlign w:val="center"/>
          </w:tcPr>
          <w:p w14:paraId="017F570B" w14:textId="77777777" w:rsidR="00995FDC" w:rsidRDefault="00995FDC" w:rsidP="00A52452">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 of residents own their home</w:t>
            </w:r>
          </w:p>
        </w:tc>
      </w:tr>
      <w:tr w:rsidR="00995FDC" w14:paraId="340BE011" w14:textId="77777777" w:rsidTr="00995FDC">
        <w:tc>
          <w:tcPr>
            <w:tcW w:w="1768" w:type="dxa"/>
            <w:vAlign w:val="center"/>
          </w:tcPr>
          <w:p w14:paraId="2C0EDD1F"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Ashford</w:t>
            </w:r>
          </w:p>
        </w:tc>
        <w:tc>
          <w:tcPr>
            <w:tcW w:w="1232" w:type="dxa"/>
            <w:shd w:val="clear" w:color="auto" w:fill="auto"/>
            <w:vAlign w:val="center"/>
          </w:tcPr>
          <w:p w14:paraId="5145ABF7"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89.0</w:t>
            </w:r>
          </w:p>
        </w:tc>
        <w:tc>
          <w:tcPr>
            <w:tcW w:w="1536" w:type="dxa"/>
            <w:shd w:val="clear" w:color="auto" w:fill="auto"/>
            <w:vAlign w:val="center"/>
          </w:tcPr>
          <w:p w14:paraId="78E2FFA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3.0%</w:t>
            </w:r>
          </w:p>
        </w:tc>
        <w:tc>
          <w:tcPr>
            <w:tcW w:w="1196" w:type="dxa"/>
            <w:shd w:val="clear" w:color="auto" w:fill="auto"/>
            <w:vAlign w:val="center"/>
          </w:tcPr>
          <w:p w14:paraId="37778962"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£668.40</w:t>
            </w:r>
          </w:p>
        </w:tc>
        <w:tc>
          <w:tcPr>
            <w:tcW w:w="1220" w:type="dxa"/>
            <w:shd w:val="clear" w:color="auto" w:fill="auto"/>
            <w:vAlign w:val="center"/>
          </w:tcPr>
          <w:p w14:paraId="7FDE400D"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26.6%</w:t>
            </w:r>
          </w:p>
        </w:tc>
        <w:tc>
          <w:tcPr>
            <w:tcW w:w="1072" w:type="dxa"/>
            <w:shd w:val="clear" w:color="auto" w:fill="auto"/>
            <w:vAlign w:val="center"/>
          </w:tcPr>
          <w:p w14:paraId="0C4C2F8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0.87</w:t>
            </w:r>
          </w:p>
        </w:tc>
        <w:tc>
          <w:tcPr>
            <w:tcW w:w="890" w:type="dxa"/>
            <w:shd w:val="clear" w:color="auto" w:fill="auto"/>
            <w:vAlign w:val="center"/>
          </w:tcPr>
          <w:p w14:paraId="61C925B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£30.00</w:t>
            </w:r>
          </w:p>
        </w:tc>
        <w:tc>
          <w:tcPr>
            <w:tcW w:w="1354" w:type="dxa"/>
            <w:shd w:val="clear" w:color="auto" w:fill="auto"/>
            <w:vAlign w:val="center"/>
          </w:tcPr>
          <w:p w14:paraId="7CB9A49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85.7%</w:t>
            </w:r>
          </w:p>
        </w:tc>
        <w:tc>
          <w:tcPr>
            <w:tcW w:w="1378" w:type="dxa"/>
            <w:shd w:val="clear" w:color="auto" w:fill="auto"/>
            <w:vAlign w:val="center"/>
          </w:tcPr>
          <w:p w14:paraId="78ED1CE2"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30.1%</w:t>
            </w:r>
          </w:p>
        </w:tc>
        <w:tc>
          <w:tcPr>
            <w:tcW w:w="1280" w:type="dxa"/>
            <w:shd w:val="clear" w:color="auto" w:fill="auto"/>
            <w:vAlign w:val="center"/>
          </w:tcPr>
          <w:p w14:paraId="3B7A021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62.1%</w:t>
            </w:r>
          </w:p>
        </w:tc>
        <w:tc>
          <w:tcPr>
            <w:tcW w:w="1170" w:type="dxa"/>
            <w:shd w:val="clear" w:color="auto" w:fill="auto"/>
            <w:vAlign w:val="center"/>
          </w:tcPr>
          <w:p w14:paraId="52ADF24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20.6%</w:t>
            </w:r>
          </w:p>
        </w:tc>
        <w:tc>
          <w:tcPr>
            <w:tcW w:w="1097" w:type="dxa"/>
            <w:shd w:val="clear" w:color="auto" w:fill="auto"/>
            <w:vAlign w:val="center"/>
          </w:tcPr>
          <w:p w14:paraId="76359A0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3.4%</w:t>
            </w:r>
          </w:p>
        </w:tc>
        <w:tc>
          <w:tcPr>
            <w:tcW w:w="1109" w:type="dxa"/>
            <w:shd w:val="clear" w:color="auto" w:fill="auto"/>
            <w:vAlign w:val="center"/>
          </w:tcPr>
          <w:p w14:paraId="016252B7"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66.4%</w:t>
            </w:r>
          </w:p>
        </w:tc>
      </w:tr>
      <w:tr w:rsidR="00995FDC" w14:paraId="2751040D" w14:textId="77777777" w:rsidTr="00995FDC">
        <w:tc>
          <w:tcPr>
            <w:tcW w:w="1768" w:type="dxa"/>
            <w:vAlign w:val="center"/>
          </w:tcPr>
          <w:p w14:paraId="469FBEBF"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Canterbury</w:t>
            </w:r>
          </w:p>
        </w:tc>
        <w:tc>
          <w:tcPr>
            <w:tcW w:w="1232" w:type="dxa"/>
            <w:shd w:val="clear" w:color="auto" w:fill="auto"/>
            <w:vAlign w:val="center"/>
          </w:tcPr>
          <w:p w14:paraId="7965912B"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99.1</w:t>
            </w:r>
          </w:p>
        </w:tc>
        <w:tc>
          <w:tcPr>
            <w:tcW w:w="1536" w:type="dxa"/>
            <w:shd w:val="clear" w:color="auto" w:fill="auto"/>
            <w:vAlign w:val="center"/>
          </w:tcPr>
          <w:p w14:paraId="487F16CE"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3.2%</w:t>
            </w:r>
          </w:p>
        </w:tc>
        <w:tc>
          <w:tcPr>
            <w:tcW w:w="1196" w:type="dxa"/>
            <w:shd w:val="clear" w:color="auto" w:fill="auto"/>
            <w:vAlign w:val="center"/>
          </w:tcPr>
          <w:p w14:paraId="4E9AC429"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£658.80</w:t>
            </w:r>
          </w:p>
        </w:tc>
        <w:tc>
          <w:tcPr>
            <w:tcW w:w="1220" w:type="dxa"/>
            <w:shd w:val="clear" w:color="auto" w:fill="auto"/>
            <w:vAlign w:val="center"/>
          </w:tcPr>
          <w:p w14:paraId="2264453E"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27.1%</w:t>
            </w:r>
          </w:p>
        </w:tc>
        <w:tc>
          <w:tcPr>
            <w:tcW w:w="1072" w:type="dxa"/>
            <w:shd w:val="clear" w:color="auto" w:fill="auto"/>
            <w:vAlign w:val="center"/>
          </w:tcPr>
          <w:p w14:paraId="7BC1280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0.76</w:t>
            </w:r>
          </w:p>
        </w:tc>
        <w:tc>
          <w:tcPr>
            <w:tcW w:w="890" w:type="dxa"/>
            <w:shd w:val="clear" w:color="auto" w:fill="auto"/>
            <w:vAlign w:val="center"/>
          </w:tcPr>
          <w:p w14:paraId="3C29597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£30.30</w:t>
            </w:r>
          </w:p>
        </w:tc>
        <w:tc>
          <w:tcPr>
            <w:tcW w:w="1354" w:type="dxa"/>
            <w:shd w:val="clear" w:color="auto" w:fill="auto"/>
            <w:vAlign w:val="center"/>
          </w:tcPr>
          <w:p w14:paraId="195A7B5C"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88.9%</w:t>
            </w:r>
          </w:p>
        </w:tc>
        <w:tc>
          <w:tcPr>
            <w:tcW w:w="1378" w:type="dxa"/>
            <w:shd w:val="clear" w:color="auto" w:fill="auto"/>
            <w:vAlign w:val="center"/>
          </w:tcPr>
          <w:p w14:paraId="3F3B2A5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33.1%</w:t>
            </w:r>
          </w:p>
        </w:tc>
        <w:tc>
          <w:tcPr>
            <w:tcW w:w="1280" w:type="dxa"/>
            <w:shd w:val="clear" w:color="auto" w:fill="auto"/>
            <w:vAlign w:val="center"/>
          </w:tcPr>
          <w:p w14:paraId="5BD38AF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65.4%</w:t>
            </w:r>
          </w:p>
        </w:tc>
        <w:tc>
          <w:tcPr>
            <w:tcW w:w="1170" w:type="dxa"/>
            <w:shd w:val="clear" w:color="auto" w:fill="auto"/>
            <w:vAlign w:val="center"/>
          </w:tcPr>
          <w:p w14:paraId="5D8622C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18.2%</w:t>
            </w:r>
          </w:p>
        </w:tc>
        <w:tc>
          <w:tcPr>
            <w:tcW w:w="1097" w:type="dxa"/>
            <w:shd w:val="clear" w:color="auto" w:fill="auto"/>
            <w:vAlign w:val="center"/>
          </w:tcPr>
          <w:p w14:paraId="7DF032D5"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3.0%</w:t>
            </w:r>
          </w:p>
        </w:tc>
        <w:tc>
          <w:tcPr>
            <w:tcW w:w="1109" w:type="dxa"/>
            <w:shd w:val="clear" w:color="auto" w:fill="auto"/>
            <w:vAlign w:val="center"/>
          </w:tcPr>
          <w:p w14:paraId="02DB04BA"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64.8%</w:t>
            </w:r>
          </w:p>
        </w:tc>
      </w:tr>
      <w:tr w:rsidR="00995FDC" w14:paraId="327823D8" w14:textId="77777777" w:rsidTr="00995FDC">
        <w:tc>
          <w:tcPr>
            <w:tcW w:w="1768" w:type="dxa"/>
            <w:vAlign w:val="center"/>
          </w:tcPr>
          <w:p w14:paraId="6A152E34"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Dartford</w:t>
            </w:r>
          </w:p>
        </w:tc>
        <w:tc>
          <w:tcPr>
            <w:tcW w:w="1232" w:type="dxa"/>
            <w:shd w:val="clear" w:color="auto" w:fill="auto"/>
            <w:vAlign w:val="center"/>
          </w:tcPr>
          <w:p w14:paraId="499A7CAC"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111.2</w:t>
            </w:r>
          </w:p>
        </w:tc>
        <w:tc>
          <w:tcPr>
            <w:tcW w:w="1536" w:type="dxa"/>
            <w:shd w:val="clear" w:color="auto" w:fill="auto"/>
            <w:vAlign w:val="center"/>
          </w:tcPr>
          <w:p w14:paraId="46ADAF05"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2.9%</w:t>
            </w:r>
          </w:p>
        </w:tc>
        <w:tc>
          <w:tcPr>
            <w:tcW w:w="1196" w:type="dxa"/>
            <w:shd w:val="clear" w:color="auto" w:fill="auto"/>
            <w:vAlign w:val="center"/>
          </w:tcPr>
          <w:p w14:paraId="1020392C"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£732.10</w:t>
            </w:r>
          </w:p>
        </w:tc>
        <w:tc>
          <w:tcPr>
            <w:tcW w:w="1220" w:type="dxa"/>
            <w:shd w:val="clear" w:color="auto" w:fill="auto"/>
            <w:vAlign w:val="center"/>
          </w:tcPr>
          <w:p w14:paraId="3F3E051B"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60.8%</w:t>
            </w:r>
          </w:p>
        </w:tc>
        <w:tc>
          <w:tcPr>
            <w:tcW w:w="1072" w:type="dxa"/>
            <w:shd w:val="clear" w:color="auto" w:fill="auto"/>
            <w:vAlign w:val="center"/>
          </w:tcPr>
          <w:p w14:paraId="4956B885"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1.11</w:t>
            </w:r>
          </w:p>
        </w:tc>
        <w:tc>
          <w:tcPr>
            <w:tcW w:w="890" w:type="dxa"/>
            <w:shd w:val="clear" w:color="auto" w:fill="auto"/>
            <w:vAlign w:val="center"/>
          </w:tcPr>
          <w:p w14:paraId="1EF1ACB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£37.40</w:t>
            </w:r>
          </w:p>
        </w:tc>
        <w:tc>
          <w:tcPr>
            <w:tcW w:w="1354" w:type="dxa"/>
            <w:shd w:val="clear" w:color="auto" w:fill="auto"/>
            <w:vAlign w:val="center"/>
          </w:tcPr>
          <w:p w14:paraId="387CDA7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100%</w:t>
            </w:r>
          </w:p>
        </w:tc>
        <w:tc>
          <w:tcPr>
            <w:tcW w:w="1378" w:type="dxa"/>
            <w:shd w:val="clear" w:color="auto" w:fill="auto"/>
            <w:vAlign w:val="center"/>
          </w:tcPr>
          <w:p w14:paraId="28D651E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32.4%</w:t>
            </w:r>
          </w:p>
        </w:tc>
        <w:tc>
          <w:tcPr>
            <w:tcW w:w="1280" w:type="dxa"/>
            <w:shd w:val="clear" w:color="auto" w:fill="auto"/>
            <w:vAlign w:val="center"/>
          </w:tcPr>
          <w:p w14:paraId="41113E72"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64.5%</w:t>
            </w:r>
          </w:p>
        </w:tc>
        <w:tc>
          <w:tcPr>
            <w:tcW w:w="1170" w:type="dxa"/>
            <w:shd w:val="clear" w:color="auto" w:fill="auto"/>
            <w:vAlign w:val="center"/>
          </w:tcPr>
          <w:p w14:paraId="4D957D58"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20.9%</w:t>
            </w:r>
          </w:p>
        </w:tc>
        <w:tc>
          <w:tcPr>
            <w:tcW w:w="1097" w:type="dxa"/>
            <w:shd w:val="clear" w:color="auto" w:fill="auto"/>
            <w:vAlign w:val="center"/>
          </w:tcPr>
          <w:p w14:paraId="7AF6825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5.6%</w:t>
            </w:r>
          </w:p>
        </w:tc>
        <w:tc>
          <w:tcPr>
            <w:tcW w:w="1109" w:type="dxa"/>
            <w:shd w:val="clear" w:color="auto" w:fill="auto"/>
            <w:vAlign w:val="center"/>
          </w:tcPr>
          <w:p w14:paraId="5DF24619"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65.6%</w:t>
            </w:r>
          </w:p>
        </w:tc>
      </w:tr>
      <w:tr w:rsidR="00995FDC" w14:paraId="03F58DEE" w14:textId="77777777" w:rsidTr="00995FDC">
        <w:tc>
          <w:tcPr>
            <w:tcW w:w="1768" w:type="dxa"/>
            <w:vAlign w:val="center"/>
          </w:tcPr>
          <w:p w14:paraId="4603EB7D"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Dover</w:t>
            </w:r>
          </w:p>
        </w:tc>
        <w:tc>
          <w:tcPr>
            <w:tcW w:w="1232" w:type="dxa"/>
            <w:shd w:val="clear" w:color="auto" w:fill="auto"/>
            <w:vAlign w:val="center"/>
          </w:tcPr>
          <w:p w14:paraId="1F6DE1F8"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95.7</w:t>
            </w:r>
          </w:p>
        </w:tc>
        <w:tc>
          <w:tcPr>
            <w:tcW w:w="1536" w:type="dxa"/>
            <w:shd w:val="clear" w:color="auto" w:fill="auto"/>
            <w:vAlign w:val="center"/>
          </w:tcPr>
          <w:p w14:paraId="5582AC7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3.8%</w:t>
            </w:r>
          </w:p>
        </w:tc>
        <w:tc>
          <w:tcPr>
            <w:tcW w:w="1196" w:type="dxa"/>
            <w:shd w:val="clear" w:color="auto" w:fill="auto"/>
            <w:vAlign w:val="center"/>
          </w:tcPr>
          <w:p w14:paraId="111FA5CE"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£670.30</w:t>
            </w:r>
          </w:p>
        </w:tc>
        <w:tc>
          <w:tcPr>
            <w:tcW w:w="1220" w:type="dxa"/>
            <w:shd w:val="clear" w:color="auto" w:fill="auto"/>
            <w:vAlign w:val="center"/>
          </w:tcPr>
          <w:p w14:paraId="06288F61"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28.8%</w:t>
            </w:r>
          </w:p>
        </w:tc>
        <w:tc>
          <w:tcPr>
            <w:tcW w:w="1072" w:type="dxa"/>
            <w:shd w:val="clear" w:color="auto" w:fill="auto"/>
            <w:vAlign w:val="center"/>
          </w:tcPr>
          <w:p w14:paraId="5D1130E9"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0.6</w:t>
            </w:r>
          </w:p>
        </w:tc>
        <w:tc>
          <w:tcPr>
            <w:tcW w:w="890" w:type="dxa"/>
            <w:shd w:val="clear" w:color="auto" w:fill="auto"/>
            <w:vAlign w:val="center"/>
          </w:tcPr>
          <w:p w14:paraId="778E4F14"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£38.20</w:t>
            </w:r>
          </w:p>
        </w:tc>
        <w:tc>
          <w:tcPr>
            <w:tcW w:w="1354" w:type="dxa"/>
            <w:shd w:val="clear" w:color="auto" w:fill="auto"/>
            <w:vAlign w:val="center"/>
          </w:tcPr>
          <w:p w14:paraId="297CBCC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55.5%</w:t>
            </w:r>
          </w:p>
        </w:tc>
        <w:tc>
          <w:tcPr>
            <w:tcW w:w="1378" w:type="dxa"/>
            <w:shd w:val="clear" w:color="auto" w:fill="auto"/>
            <w:vAlign w:val="center"/>
          </w:tcPr>
          <w:p w14:paraId="3164257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27.0%</w:t>
            </w:r>
          </w:p>
        </w:tc>
        <w:tc>
          <w:tcPr>
            <w:tcW w:w="1280" w:type="dxa"/>
            <w:shd w:val="clear" w:color="auto" w:fill="auto"/>
            <w:vAlign w:val="center"/>
          </w:tcPr>
          <w:p w14:paraId="69FF39D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69.4%</w:t>
            </w:r>
          </w:p>
        </w:tc>
        <w:tc>
          <w:tcPr>
            <w:tcW w:w="1170" w:type="dxa"/>
            <w:shd w:val="clear" w:color="auto" w:fill="auto"/>
            <w:vAlign w:val="center"/>
          </w:tcPr>
          <w:p w14:paraId="7F5C1DD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20.3%</w:t>
            </w:r>
          </w:p>
        </w:tc>
        <w:tc>
          <w:tcPr>
            <w:tcW w:w="1097" w:type="dxa"/>
            <w:shd w:val="clear" w:color="auto" w:fill="auto"/>
            <w:vAlign w:val="center"/>
          </w:tcPr>
          <w:p w14:paraId="0BF0B3CB"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3.1%</w:t>
            </w:r>
          </w:p>
        </w:tc>
        <w:tc>
          <w:tcPr>
            <w:tcW w:w="1109" w:type="dxa"/>
            <w:shd w:val="clear" w:color="auto" w:fill="auto"/>
            <w:vAlign w:val="center"/>
          </w:tcPr>
          <w:p w14:paraId="2C2E36B5"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66.2%</w:t>
            </w:r>
          </w:p>
        </w:tc>
      </w:tr>
      <w:tr w:rsidR="00995FDC" w14:paraId="2D312BAD" w14:textId="77777777" w:rsidTr="00995FDC">
        <w:tc>
          <w:tcPr>
            <w:tcW w:w="1768" w:type="dxa"/>
            <w:vAlign w:val="center"/>
          </w:tcPr>
          <w:p w14:paraId="7E52A492"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Folkestone and Hythe</w:t>
            </w:r>
          </w:p>
        </w:tc>
        <w:tc>
          <w:tcPr>
            <w:tcW w:w="1232" w:type="dxa"/>
            <w:shd w:val="clear" w:color="auto" w:fill="auto"/>
            <w:vAlign w:val="center"/>
          </w:tcPr>
          <w:p w14:paraId="43806F52"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95.3</w:t>
            </w:r>
          </w:p>
        </w:tc>
        <w:tc>
          <w:tcPr>
            <w:tcW w:w="1536" w:type="dxa"/>
            <w:shd w:val="clear" w:color="auto" w:fill="auto"/>
            <w:vAlign w:val="center"/>
          </w:tcPr>
          <w:p w14:paraId="313B876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3.9%</w:t>
            </w:r>
          </w:p>
        </w:tc>
        <w:tc>
          <w:tcPr>
            <w:tcW w:w="1196" w:type="dxa"/>
            <w:shd w:val="clear" w:color="auto" w:fill="auto"/>
            <w:vAlign w:val="center"/>
          </w:tcPr>
          <w:p w14:paraId="53C6B33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£684.30</w:t>
            </w:r>
          </w:p>
        </w:tc>
        <w:tc>
          <w:tcPr>
            <w:tcW w:w="1220" w:type="dxa"/>
            <w:shd w:val="clear" w:color="auto" w:fill="auto"/>
            <w:vAlign w:val="center"/>
          </w:tcPr>
          <w:p w14:paraId="08D535CC"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21.1%</w:t>
            </w:r>
          </w:p>
        </w:tc>
        <w:tc>
          <w:tcPr>
            <w:tcW w:w="1072" w:type="dxa"/>
            <w:shd w:val="clear" w:color="auto" w:fill="auto"/>
            <w:vAlign w:val="center"/>
          </w:tcPr>
          <w:p w14:paraId="767D8229"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0.71</w:t>
            </w:r>
          </w:p>
        </w:tc>
        <w:tc>
          <w:tcPr>
            <w:tcW w:w="890" w:type="dxa"/>
            <w:shd w:val="clear" w:color="auto" w:fill="auto"/>
            <w:vAlign w:val="center"/>
          </w:tcPr>
          <w:p w14:paraId="47F761CB"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£34.90</w:t>
            </w:r>
          </w:p>
        </w:tc>
        <w:tc>
          <w:tcPr>
            <w:tcW w:w="1354" w:type="dxa"/>
            <w:shd w:val="clear" w:color="auto" w:fill="auto"/>
            <w:vAlign w:val="center"/>
          </w:tcPr>
          <w:p w14:paraId="786F8F2C"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100%</w:t>
            </w:r>
          </w:p>
        </w:tc>
        <w:tc>
          <w:tcPr>
            <w:tcW w:w="1378" w:type="dxa"/>
            <w:shd w:val="clear" w:color="auto" w:fill="auto"/>
            <w:vAlign w:val="center"/>
          </w:tcPr>
          <w:p w14:paraId="6AD4706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27.4%</w:t>
            </w:r>
          </w:p>
        </w:tc>
        <w:tc>
          <w:tcPr>
            <w:tcW w:w="1280" w:type="dxa"/>
            <w:shd w:val="clear" w:color="auto" w:fill="auto"/>
            <w:vAlign w:val="center"/>
          </w:tcPr>
          <w:p w14:paraId="72EA506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72.8%</w:t>
            </w:r>
          </w:p>
        </w:tc>
        <w:tc>
          <w:tcPr>
            <w:tcW w:w="1170" w:type="dxa"/>
            <w:shd w:val="clear" w:color="auto" w:fill="auto"/>
            <w:vAlign w:val="center"/>
          </w:tcPr>
          <w:p w14:paraId="221C5A6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27.3%</w:t>
            </w:r>
          </w:p>
        </w:tc>
        <w:tc>
          <w:tcPr>
            <w:tcW w:w="1097" w:type="dxa"/>
            <w:shd w:val="clear" w:color="auto" w:fill="auto"/>
            <w:vAlign w:val="center"/>
          </w:tcPr>
          <w:p w14:paraId="34C54EE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3.1%</w:t>
            </w:r>
          </w:p>
        </w:tc>
        <w:tc>
          <w:tcPr>
            <w:tcW w:w="1109" w:type="dxa"/>
            <w:shd w:val="clear" w:color="auto" w:fill="auto"/>
            <w:vAlign w:val="center"/>
          </w:tcPr>
          <w:p w14:paraId="106FD453"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65.8%</w:t>
            </w:r>
          </w:p>
        </w:tc>
      </w:tr>
      <w:tr w:rsidR="00995FDC" w14:paraId="5E890982" w14:textId="77777777" w:rsidTr="00995FDC">
        <w:tc>
          <w:tcPr>
            <w:tcW w:w="1768" w:type="dxa"/>
            <w:vAlign w:val="center"/>
          </w:tcPr>
          <w:p w14:paraId="5265562D"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Gravesham</w:t>
            </w:r>
          </w:p>
        </w:tc>
        <w:tc>
          <w:tcPr>
            <w:tcW w:w="1232" w:type="dxa"/>
            <w:shd w:val="clear" w:color="auto" w:fill="auto"/>
            <w:vAlign w:val="center"/>
          </w:tcPr>
          <w:p w14:paraId="14A7DD62"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108.7</w:t>
            </w:r>
          </w:p>
        </w:tc>
        <w:tc>
          <w:tcPr>
            <w:tcW w:w="1536" w:type="dxa"/>
            <w:shd w:val="clear" w:color="auto" w:fill="auto"/>
            <w:vAlign w:val="center"/>
          </w:tcPr>
          <w:p w14:paraId="06E4B4B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4.3%</w:t>
            </w:r>
          </w:p>
        </w:tc>
        <w:tc>
          <w:tcPr>
            <w:tcW w:w="1196" w:type="dxa"/>
            <w:shd w:val="clear" w:color="auto" w:fill="auto"/>
            <w:vAlign w:val="center"/>
          </w:tcPr>
          <w:p w14:paraId="0EF4DE1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£660.90</w:t>
            </w:r>
          </w:p>
        </w:tc>
        <w:tc>
          <w:tcPr>
            <w:tcW w:w="1220" w:type="dxa"/>
            <w:shd w:val="clear" w:color="auto" w:fill="auto"/>
            <w:vAlign w:val="center"/>
          </w:tcPr>
          <w:p w14:paraId="62F7FE00"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54.4%</w:t>
            </w:r>
          </w:p>
        </w:tc>
        <w:tc>
          <w:tcPr>
            <w:tcW w:w="1072" w:type="dxa"/>
            <w:shd w:val="clear" w:color="auto" w:fill="auto"/>
            <w:vAlign w:val="center"/>
          </w:tcPr>
          <w:p w14:paraId="5ED83F4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0.57</w:t>
            </w:r>
          </w:p>
        </w:tc>
        <w:tc>
          <w:tcPr>
            <w:tcW w:w="890" w:type="dxa"/>
            <w:shd w:val="clear" w:color="auto" w:fill="auto"/>
            <w:vAlign w:val="center"/>
          </w:tcPr>
          <w:p w14:paraId="2901967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£35.70</w:t>
            </w:r>
          </w:p>
        </w:tc>
        <w:tc>
          <w:tcPr>
            <w:tcW w:w="1354" w:type="dxa"/>
            <w:shd w:val="clear" w:color="auto" w:fill="auto"/>
            <w:vAlign w:val="center"/>
          </w:tcPr>
          <w:p w14:paraId="3CF601C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100%</w:t>
            </w:r>
          </w:p>
        </w:tc>
        <w:tc>
          <w:tcPr>
            <w:tcW w:w="1378" w:type="dxa"/>
            <w:shd w:val="clear" w:color="auto" w:fill="auto"/>
            <w:vAlign w:val="center"/>
          </w:tcPr>
          <w:p w14:paraId="44AE67F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26.7%</w:t>
            </w:r>
          </w:p>
        </w:tc>
        <w:tc>
          <w:tcPr>
            <w:tcW w:w="1280" w:type="dxa"/>
            <w:shd w:val="clear" w:color="auto" w:fill="auto"/>
            <w:vAlign w:val="center"/>
          </w:tcPr>
          <w:p w14:paraId="71D7253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68.3%</w:t>
            </w:r>
          </w:p>
        </w:tc>
        <w:tc>
          <w:tcPr>
            <w:tcW w:w="1170" w:type="dxa"/>
            <w:shd w:val="clear" w:color="auto" w:fill="auto"/>
            <w:vAlign w:val="center"/>
          </w:tcPr>
          <w:p w14:paraId="65BB17C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28.8%</w:t>
            </w:r>
          </w:p>
        </w:tc>
        <w:tc>
          <w:tcPr>
            <w:tcW w:w="1097" w:type="dxa"/>
            <w:shd w:val="clear" w:color="auto" w:fill="auto"/>
            <w:vAlign w:val="center"/>
          </w:tcPr>
          <w:p w14:paraId="558B154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6.0%</w:t>
            </w:r>
          </w:p>
        </w:tc>
        <w:tc>
          <w:tcPr>
            <w:tcW w:w="1109" w:type="dxa"/>
            <w:shd w:val="clear" w:color="auto" w:fill="auto"/>
            <w:vAlign w:val="center"/>
          </w:tcPr>
          <w:p w14:paraId="53BB967D"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62.2%</w:t>
            </w:r>
          </w:p>
        </w:tc>
      </w:tr>
      <w:tr w:rsidR="00995FDC" w14:paraId="2DE22729" w14:textId="77777777" w:rsidTr="00995FDC">
        <w:tc>
          <w:tcPr>
            <w:tcW w:w="1768" w:type="dxa"/>
            <w:vAlign w:val="center"/>
          </w:tcPr>
          <w:p w14:paraId="4A3EA0BC"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Maidstone</w:t>
            </w:r>
          </w:p>
        </w:tc>
        <w:tc>
          <w:tcPr>
            <w:tcW w:w="1232" w:type="dxa"/>
            <w:shd w:val="clear" w:color="auto" w:fill="auto"/>
            <w:vAlign w:val="center"/>
          </w:tcPr>
          <w:p w14:paraId="5FA92456"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91.1</w:t>
            </w:r>
          </w:p>
        </w:tc>
        <w:tc>
          <w:tcPr>
            <w:tcW w:w="1536" w:type="dxa"/>
            <w:shd w:val="clear" w:color="auto" w:fill="auto"/>
            <w:vAlign w:val="center"/>
          </w:tcPr>
          <w:p w14:paraId="76E3E17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3.0%</w:t>
            </w:r>
          </w:p>
        </w:tc>
        <w:tc>
          <w:tcPr>
            <w:tcW w:w="1196" w:type="dxa"/>
            <w:shd w:val="clear" w:color="auto" w:fill="auto"/>
            <w:vAlign w:val="center"/>
          </w:tcPr>
          <w:p w14:paraId="1F4E67FB"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£615.10</w:t>
            </w:r>
          </w:p>
        </w:tc>
        <w:tc>
          <w:tcPr>
            <w:tcW w:w="1220" w:type="dxa"/>
            <w:shd w:val="clear" w:color="auto" w:fill="auto"/>
            <w:vAlign w:val="center"/>
          </w:tcPr>
          <w:p w14:paraId="1DF7CD7F"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29.8%</w:t>
            </w:r>
          </w:p>
        </w:tc>
        <w:tc>
          <w:tcPr>
            <w:tcW w:w="1072" w:type="dxa"/>
            <w:shd w:val="clear" w:color="auto" w:fill="auto"/>
            <w:vAlign w:val="center"/>
          </w:tcPr>
          <w:p w14:paraId="46933549"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0.84</w:t>
            </w:r>
          </w:p>
        </w:tc>
        <w:tc>
          <w:tcPr>
            <w:tcW w:w="890" w:type="dxa"/>
            <w:shd w:val="clear" w:color="auto" w:fill="auto"/>
            <w:vAlign w:val="center"/>
          </w:tcPr>
          <w:p w14:paraId="18701B8C"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£35.20</w:t>
            </w:r>
          </w:p>
        </w:tc>
        <w:tc>
          <w:tcPr>
            <w:tcW w:w="1354" w:type="dxa"/>
            <w:shd w:val="clear" w:color="auto" w:fill="auto"/>
            <w:vAlign w:val="center"/>
          </w:tcPr>
          <w:p w14:paraId="1FDD7E29"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100%</w:t>
            </w:r>
          </w:p>
        </w:tc>
        <w:tc>
          <w:tcPr>
            <w:tcW w:w="1378" w:type="dxa"/>
            <w:shd w:val="clear" w:color="auto" w:fill="auto"/>
            <w:vAlign w:val="center"/>
          </w:tcPr>
          <w:p w14:paraId="0F3DBC7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29.9%</w:t>
            </w:r>
          </w:p>
        </w:tc>
        <w:tc>
          <w:tcPr>
            <w:tcW w:w="1280" w:type="dxa"/>
            <w:shd w:val="clear" w:color="auto" w:fill="auto"/>
            <w:vAlign w:val="center"/>
          </w:tcPr>
          <w:p w14:paraId="4E750032"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66.6%</w:t>
            </w:r>
          </w:p>
        </w:tc>
        <w:tc>
          <w:tcPr>
            <w:tcW w:w="1170" w:type="dxa"/>
            <w:shd w:val="clear" w:color="auto" w:fill="auto"/>
            <w:vAlign w:val="center"/>
          </w:tcPr>
          <w:p w14:paraId="79955082"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19.2%</w:t>
            </w:r>
          </w:p>
        </w:tc>
        <w:tc>
          <w:tcPr>
            <w:tcW w:w="1097" w:type="dxa"/>
            <w:shd w:val="clear" w:color="auto" w:fill="auto"/>
            <w:vAlign w:val="center"/>
          </w:tcPr>
          <w:p w14:paraId="703E7CF7"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3.4%</w:t>
            </w:r>
          </w:p>
        </w:tc>
        <w:tc>
          <w:tcPr>
            <w:tcW w:w="1109" w:type="dxa"/>
            <w:shd w:val="clear" w:color="auto" w:fill="auto"/>
            <w:vAlign w:val="center"/>
          </w:tcPr>
          <w:p w14:paraId="284D05BF"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67.4%</w:t>
            </w:r>
          </w:p>
        </w:tc>
      </w:tr>
      <w:tr w:rsidR="00995FDC" w14:paraId="2C53F511" w14:textId="77777777" w:rsidTr="00995FDC">
        <w:tc>
          <w:tcPr>
            <w:tcW w:w="1768" w:type="dxa"/>
            <w:vAlign w:val="center"/>
          </w:tcPr>
          <w:p w14:paraId="58052144"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Sevenoaks</w:t>
            </w:r>
          </w:p>
        </w:tc>
        <w:tc>
          <w:tcPr>
            <w:tcW w:w="1232" w:type="dxa"/>
            <w:shd w:val="clear" w:color="auto" w:fill="auto"/>
            <w:vAlign w:val="center"/>
          </w:tcPr>
          <w:p w14:paraId="57DA1195"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66.9</w:t>
            </w:r>
          </w:p>
        </w:tc>
        <w:tc>
          <w:tcPr>
            <w:tcW w:w="1536" w:type="dxa"/>
            <w:shd w:val="clear" w:color="auto" w:fill="auto"/>
            <w:vAlign w:val="center"/>
          </w:tcPr>
          <w:p w14:paraId="63E15FD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2.0%</w:t>
            </w:r>
          </w:p>
        </w:tc>
        <w:tc>
          <w:tcPr>
            <w:tcW w:w="1196" w:type="dxa"/>
            <w:shd w:val="clear" w:color="auto" w:fill="auto"/>
            <w:vAlign w:val="center"/>
          </w:tcPr>
          <w:p w14:paraId="5826855C"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£731.90</w:t>
            </w:r>
          </w:p>
        </w:tc>
        <w:tc>
          <w:tcPr>
            <w:tcW w:w="1220" w:type="dxa"/>
            <w:shd w:val="clear" w:color="auto" w:fill="auto"/>
            <w:vAlign w:val="center"/>
          </w:tcPr>
          <w:p w14:paraId="58D6F47C"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15.6%</w:t>
            </w:r>
          </w:p>
        </w:tc>
        <w:tc>
          <w:tcPr>
            <w:tcW w:w="1072" w:type="dxa"/>
            <w:shd w:val="clear" w:color="auto" w:fill="auto"/>
            <w:vAlign w:val="center"/>
          </w:tcPr>
          <w:p w14:paraId="496E1FA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0.83</w:t>
            </w:r>
          </w:p>
        </w:tc>
        <w:tc>
          <w:tcPr>
            <w:tcW w:w="890" w:type="dxa"/>
            <w:shd w:val="clear" w:color="auto" w:fill="auto"/>
            <w:vAlign w:val="center"/>
          </w:tcPr>
          <w:p w14:paraId="20C00A27"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£46.00</w:t>
            </w:r>
          </w:p>
        </w:tc>
        <w:tc>
          <w:tcPr>
            <w:tcW w:w="1354" w:type="dxa"/>
            <w:shd w:val="clear" w:color="auto" w:fill="auto"/>
            <w:vAlign w:val="center"/>
          </w:tcPr>
          <w:p w14:paraId="02524985"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100%</w:t>
            </w:r>
          </w:p>
        </w:tc>
        <w:tc>
          <w:tcPr>
            <w:tcW w:w="1378" w:type="dxa"/>
            <w:shd w:val="clear" w:color="auto" w:fill="auto"/>
            <w:vAlign w:val="center"/>
          </w:tcPr>
          <w:p w14:paraId="29DB348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37.3%</w:t>
            </w:r>
          </w:p>
        </w:tc>
        <w:tc>
          <w:tcPr>
            <w:tcW w:w="1280" w:type="dxa"/>
            <w:shd w:val="clear" w:color="auto" w:fill="auto"/>
            <w:vAlign w:val="center"/>
          </w:tcPr>
          <w:p w14:paraId="597A13C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58.5%</w:t>
            </w:r>
          </w:p>
        </w:tc>
        <w:tc>
          <w:tcPr>
            <w:tcW w:w="1170" w:type="dxa"/>
            <w:shd w:val="clear" w:color="auto" w:fill="auto"/>
            <w:vAlign w:val="center"/>
          </w:tcPr>
          <w:p w14:paraId="3B54AA4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16.8%</w:t>
            </w:r>
          </w:p>
        </w:tc>
        <w:tc>
          <w:tcPr>
            <w:tcW w:w="1097" w:type="dxa"/>
            <w:shd w:val="clear" w:color="auto" w:fill="auto"/>
            <w:vAlign w:val="center"/>
          </w:tcPr>
          <w:p w14:paraId="3A1462F8"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2.5%</w:t>
            </w:r>
          </w:p>
        </w:tc>
        <w:tc>
          <w:tcPr>
            <w:tcW w:w="1109" w:type="dxa"/>
            <w:shd w:val="clear" w:color="auto" w:fill="auto"/>
            <w:vAlign w:val="center"/>
          </w:tcPr>
          <w:p w14:paraId="3B259864"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71.5%</w:t>
            </w:r>
          </w:p>
        </w:tc>
      </w:tr>
      <w:tr w:rsidR="00995FDC" w14:paraId="05A9D296" w14:textId="77777777" w:rsidTr="00995FDC">
        <w:tc>
          <w:tcPr>
            <w:tcW w:w="1768" w:type="dxa"/>
            <w:vAlign w:val="center"/>
          </w:tcPr>
          <w:p w14:paraId="2BED649E"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Swale</w:t>
            </w:r>
          </w:p>
        </w:tc>
        <w:tc>
          <w:tcPr>
            <w:tcW w:w="1232" w:type="dxa"/>
            <w:shd w:val="clear" w:color="auto" w:fill="auto"/>
            <w:vAlign w:val="center"/>
          </w:tcPr>
          <w:p w14:paraId="4D39DA43"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101.5</w:t>
            </w:r>
          </w:p>
        </w:tc>
        <w:tc>
          <w:tcPr>
            <w:tcW w:w="1536" w:type="dxa"/>
            <w:shd w:val="clear" w:color="auto" w:fill="auto"/>
            <w:vAlign w:val="center"/>
          </w:tcPr>
          <w:p w14:paraId="3F77268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3.6%</w:t>
            </w:r>
          </w:p>
        </w:tc>
        <w:tc>
          <w:tcPr>
            <w:tcW w:w="1196" w:type="dxa"/>
            <w:shd w:val="clear" w:color="auto" w:fill="auto"/>
            <w:vAlign w:val="center"/>
          </w:tcPr>
          <w:p w14:paraId="590D583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£663.30</w:t>
            </w:r>
          </w:p>
        </w:tc>
        <w:tc>
          <w:tcPr>
            <w:tcW w:w="1220" w:type="dxa"/>
            <w:shd w:val="clear" w:color="auto" w:fill="auto"/>
            <w:vAlign w:val="center"/>
          </w:tcPr>
          <w:p w14:paraId="6FFD1927"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28.4%</w:t>
            </w:r>
          </w:p>
        </w:tc>
        <w:tc>
          <w:tcPr>
            <w:tcW w:w="1072" w:type="dxa"/>
            <w:shd w:val="clear" w:color="auto" w:fill="auto"/>
            <w:vAlign w:val="center"/>
          </w:tcPr>
          <w:p w14:paraId="5BBAE6B3"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0.63</w:t>
            </w:r>
          </w:p>
        </w:tc>
        <w:tc>
          <w:tcPr>
            <w:tcW w:w="890" w:type="dxa"/>
            <w:shd w:val="clear" w:color="auto" w:fill="auto"/>
            <w:vAlign w:val="center"/>
          </w:tcPr>
          <w:p w14:paraId="2C3152D8"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£42.40</w:t>
            </w:r>
          </w:p>
        </w:tc>
        <w:tc>
          <w:tcPr>
            <w:tcW w:w="1354" w:type="dxa"/>
            <w:shd w:val="clear" w:color="auto" w:fill="auto"/>
            <w:vAlign w:val="center"/>
          </w:tcPr>
          <w:p w14:paraId="7B43FEE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87.5%</w:t>
            </w:r>
          </w:p>
        </w:tc>
        <w:tc>
          <w:tcPr>
            <w:tcW w:w="1378" w:type="dxa"/>
            <w:shd w:val="clear" w:color="auto" w:fill="auto"/>
            <w:vAlign w:val="center"/>
          </w:tcPr>
          <w:p w14:paraId="7A98083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23.7%</w:t>
            </w:r>
          </w:p>
        </w:tc>
        <w:tc>
          <w:tcPr>
            <w:tcW w:w="1280" w:type="dxa"/>
            <w:shd w:val="clear" w:color="auto" w:fill="auto"/>
            <w:vAlign w:val="center"/>
          </w:tcPr>
          <w:p w14:paraId="357F12E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66.3%</w:t>
            </w:r>
          </w:p>
        </w:tc>
        <w:tc>
          <w:tcPr>
            <w:tcW w:w="1170" w:type="dxa"/>
            <w:shd w:val="clear" w:color="auto" w:fill="auto"/>
            <w:vAlign w:val="center"/>
          </w:tcPr>
          <w:p w14:paraId="6704C5F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21.3%</w:t>
            </w:r>
          </w:p>
        </w:tc>
        <w:tc>
          <w:tcPr>
            <w:tcW w:w="1097" w:type="dxa"/>
            <w:shd w:val="clear" w:color="auto" w:fill="auto"/>
            <w:vAlign w:val="center"/>
          </w:tcPr>
          <w:p w14:paraId="3D2B685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4.0%</w:t>
            </w:r>
          </w:p>
        </w:tc>
        <w:tc>
          <w:tcPr>
            <w:tcW w:w="1109" w:type="dxa"/>
            <w:shd w:val="clear" w:color="auto" w:fill="auto"/>
            <w:vAlign w:val="center"/>
          </w:tcPr>
          <w:p w14:paraId="454F1372"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67.0%</w:t>
            </w:r>
          </w:p>
        </w:tc>
      </w:tr>
      <w:tr w:rsidR="00995FDC" w14:paraId="42790358" w14:textId="77777777" w:rsidTr="00995FDC">
        <w:tc>
          <w:tcPr>
            <w:tcW w:w="1768" w:type="dxa"/>
            <w:vAlign w:val="center"/>
          </w:tcPr>
          <w:p w14:paraId="5F00739F"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Thanet</w:t>
            </w:r>
          </w:p>
        </w:tc>
        <w:tc>
          <w:tcPr>
            <w:tcW w:w="1232" w:type="dxa"/>
            <w:shd w:val="clear" w:color="auto" w:fill="auto"/>
            <w:vAlign w:val="center"/>
          </w:tcPr>
          <w:p w14:paraId="2F607E45"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127.4</w:t>
            </w:r>
          </w:p>
        </w:tc>
        <w:tc>
          <w:tcPr>
            <w:tcW w:w="1536" w:type="dxa"/>
            <w:shd w:val="clear" w:color="auto" w:fill="auto"/>
            <w:vAlign w:val="center"/>
          </w:tcPr>
          <w:p w14:paraId="23D8D8F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5.3%</w:t>
            </w:r>
          </w:p>
        </w:tc>
        <w:tc>
          <w:tcPr>
            <w:tcW w:w="1196" w:type="dxa"/>
            <w:shd w:val="clear" w:color="auto" w:fill="auto"/>
            <w:vAlign w:val="center"/>
          </w:tcPr>
          <w:p w14:paraId="510727A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£591.80</w:t>
            </w:r>
          </w:p>
        </w:tc>
        <w:tc>
          <w:tcPr>
            <w:tcW w:w="1220" w:type="dxa"/>
            <w:shd w:val="clear" w:color="auto" w:fill="auto"/>
            <w:vAlign w:val="center"/>
          </w:tcPr>
          <w:p w14:paraId="1A8A3CC4"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42.5%</w:t>
            </w:r>
          </w:p>
        </w:tc>
        <w:tc>
          <w:tcPr>
            <w:tcW w:w="1072" w:type="dxa"/>
            <w:shd w:val="clear" w:color="auto" w:fill="auto"/>
            <w:vAlign w:val="center"/>
          </w:tcPr>
          <w:p w14:paraId="4449FD0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0.66</w:t>
            </w:r>
          </w:p>
        </w:tc>
        <w:tc>
          <w:tcPr>
            <w:tcW w:w="890" w:type="dxa"/>
            <w:shd w:val="clear" w:color="auto" w:fill="auto"/>
            <w:vAlign w:val="center"/>
          </w:tcPr>
          <w:p w14:paraId="657CB68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£28.00</w:t>
            </w:r>
          </w:p>
        </w:tc>
        <w:tc>
          <w:tcPr>
            <w:tcW w:w="1354" w:type="dxa"/>
            <w:shd w:val="clear" w:color="auto" w:fill="auto"/>
            <w:vAlign w:val="center"/>
          </w:tcPr>
          <w:p w14:paraId="7C725F35"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75.0%</w:t>
            </w:r>
          </w:p>
        </w:tc>
        <w:tc>
          <w:tcPr>
            <w:tcW w:w="1378" w:type="dxa"/>
            <w:shd w:val="clear" w:color="auto" w:fill="auto"/>
            <w:vAlign w:val="center"/>
          </w:tcPr>
          <w:p w14:paraId="4ABB671E"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26.3%</w:t>
            </w:r>
          </w:p>
        </w:tc>
        <w:tc>
          <w:tcPr>
            <w:tcW w:w="1280" w:type="dxa"/>
            <w:shd w:val="clear" w:color="auto" w:fill="auto"/>
            <w:vAlign w:val="center"/>
          </w:tcPr>
          <w:p w14:paraId="126FD54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72.0%</w:t>
            </w:r>
          </w:p>
        </w:tc>
        <w:tc>
          <w:tcPr>
            <w:tcW w:w="1170" w:type="dxa"/>
            <w:shd w:val="clear" w:color="auto" w:fill="auto"/>
            <w:vAlign w:val="center"/>
          </w:tcPr>
          <w:p w14:paraId="67559D1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22.6%</w:t>
            </w:r>
          </w:p>
        </w:tc>
        <w:tc>
          <w:tcPr>
            <w:tcW w:w="1097" w:type="dxa"/>
            <w:shd w:val="clear" w:color="auto" w:fill="auto"/>
            <w:vAlign w:val="center"/>
          </w:tcPr>
          <w:p w14:paraId="5A778FA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3.7%</w:t>
            </w:r>
          </w:p>
        </w:tc>
        <w:tc>
          <w:tcPr>
            <w:tcW w:w="1109" w:type="dxa"/>
            <w:shd w:val="clear" w:color="auto" w:fill="auto"/>
            <w:vAlign w:val="center"/>
          </w:tcPr>
          <w:p w14:paraId="37D005BD"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61.4%</w:t>
            </w:r>
          </w:p>
        </w:tc>
      </w:tr>
      <w:tr w:rsidR="00995FDC" w14:paraId="3D8A4C92" w14:textId="77777777" w:rsidTr="00995FDC">
        <w:tc>
          <w:tcPr>
            <w:tcW w:w="1768" w:type="dxa"/>
            <w:vAlign w:val="center"/>
          </w:tcPr>
          <w:p w14:paraId="37821F16" w14:textId="7777777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Tonbridge and Malling</w:t>
            </w:r>
          </w:p>
        </w:tc>
        <w:tc>
          <w:tcPr>
            <w:tcW w:w="1232" w:type="dxa"/>
            <w:shd w:val="clear" w:color="auto" w:fill="auto"/>
            <w:vAlign w:val="center"/>
          </w:tcPr>
          <w:p w14:paraId="15EF59D9"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67.3</w:t>
            </w:r>
          </w:p>
        </w:tc>
        <w:tc>
          <w:tcPr>
            <w:tcW w:w="1536" w:type="dxa"/>
            <w:shd w:val="clear" w:color="auto" w:fill="auto"/>
            <w:vAlign w:val="center"/>
          </w:tcPr>
          <w:p w14:paraId="1A569EEB"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2.2%</w:t>
            </w:r>
          </w:p>
        </w:tc>
        <w:tc>
          <w:tcPr>
            <w:tcW w:w="1196" w:type="dxa"/>
            <w:shd w:val="clear" w:color="auto" w:fill="auto"/>
            <w:vAlign w:val="center"/>
          </w:tcPr>
          <w:p w14:paraId="081B62FC"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£703.60</w:t>
            </w:r>
          </w:p>
        </w:tc>
        <w:tc>
          <w:tcPr>
            <w:tcW w:w="1220" w:type="dxa"/>
            <w:shd w:val="clear" w:color="auto" w:fill="auto"/>
            <w:vAlign w:val="center"/>
          </w:tcPr>
          <w:p w14:paraId="1DB10736"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30.7%</w:t>
            </w:r>
          </w:p>
        </w:tc>
        <w:tc>
          <w:tcPr>
            <w:tcW w:w="1072" w:type="dxa"/>
            <w:shd w:val="clear" w:color="auto" w:fill="auto"/>
            <w:vAlign w:val="center"/>
          </w:tcPr>
          <w:p w14:paraId="2B6E55CB"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0.94</w:t>
            </w:r>
          </w:p>
        </w:tc>
        <w:tc>
          <w:tcPr>
            <w:tcW w:w="890" w:type="dxa"/>
            <w:shd w:val="clear" w:color="auto" w:fill="auto"/>
            <w:vAlign w:val="center"/>
          </w:tcPr>
          <w:p w14:paraId="42DE28E8"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£43.70</w:t>
            </w:r>
          </w:p>
        </w:tc>
        <w:tc>
          <w:tcPr>
            <w:tcW w:w="1354" w:type="dxa"/>
            <w:shd w:val="clear" w:color="auto" w:fill="auto"/>
            <w:vAlign w:val="center"/>
          </w:tcPr>
          <w:p w14:paraId="5FD43627"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81.8%</w:t>
            </w:r>
          </w:p>
        </w:tc>
        <w:tc>
          <w:tcPr>
            <w:tcW w:w="1378" w:type="dxa"/>
            <w:shd w:val="clear" w:color="auto" w:fill="auto"/>
            <w:vAlign w:val="center"/>
          </w:tcPr>
          <w:p w14:paraId="6B2E6941"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32.5%</w:t>
            </w:r>
          </w:p>
        </w:tc>
        <w:tc>
          <w:tcPr>
            <w:tcW w:w="1280" w:type="dxa"/>
            <w:shd w:val="clear" w:color="auto" w:fill="auto"/>
            <w:vAlign w:val="center"/>
          </w:tcPr>
          <w:p w14:paraId="6E88E2D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63.3%</w:t>
            </w:r>
          </w:p>
        </w:tc>
        <w:tc>
          <w:tcPr>
            <w:tcW w:w="1170" w:type="dxa"/>
            <w:shd w:val="clear" w:color="auto" w:fill="auto"/>
            <w:vAlign w:val="center"/>
          </w:tcPr>
          <w:p w14:paraId="14723DA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19.1%</w:t>
            </w:r>
          </w:p>
        </w:tc>
        <w:tc>
          <w:tcPr>
            <w:tcW w:w="1097" w:type="dxa"/>
            <w:shd w:val="clear" w:color="auto" w:fill="auto"/>
            <w:vAlign w:val="center"/>
          </w:tcPr>
          <w:p w14:paraId="7DB4CFEA"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2.5%</w:t>
            </w:r>
          </w:p>
        </w:tc>
        <w:tc>
          <w:tcPr>
            <w:tcW w:w="1109" w:type="dxa"/>
            <w:shd w:val="clear" w:color="auto" w:fill="auto"/>
            <w:vAlign w:val="center"/>
          </w:tcPr>
          <w:p w14:paraId="1C993B72"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70.0%</w:t>
            </w:r>
          </w:p>
        </w:tc>
      </w:tr>
      <w:tr w:rsidR="00995FDC" w14:paraId="2175CFDE" w14:textId="77777777" w:rsidTr="00995FDC">
        <w:trPr>
          <w:trHeight w:val="58"/>
        </w:trPr>
        <w:tc>
          <w:tcPr>
            <w:tcW w:w="1768" w:type="dxa"/>
            <w:vAlign w:val="center"/>
          </w:tcPr>
          <w:p w14:paraId="7DA853CD" w14:textId="3E0FA937" w:rsidR="00995FDC" w:rsidRPr="003D5991" w:rsidRDefault="00995FDC" w:rsidP="00995FDC">
            <w:pPr>
              <w:pStyle w:val="Default"/>
              <w:spacing w:line="276" w:lineRule="auto"/>
              <w:rPr>
                <w:rFonts w:ascii="Arial" w:eastAsia="Arial" w:hAnsi="Arial" w:cs="Arial"/>
                <w:color w:val="000000" w:themeColor="text1"/>
                <w:sz w:val="22"/>
                <w:szCs w:val="22"/>
              </w:rPr>
            </w:pPr>
            <w:r w:rsidRPr="003D5991">
              <w:rPr>
                <w:rFonts w:ascii="Arial" w:eastAsia="Arial" w:hAnsi="Arial" w:cs="Arial"/>
                <w:color w:val="000000" w:themeColor="text1"/>
                <w:sz w:val="22"/>
                <w:szCs w:val="22"/>
              </w:rPr>
              <w:t xml:space="preserve">Tunbridge </w:t>
            </w:r>
            <w:r>
              <w:rPr>
                <w:rFonts w:ascii="Arial" w:eastAsia="Arial" w:hAnsi="Arial" w:cs="Arial"/>
                <w:color w:val="000000" w:themeColor="text1"/>
                <w:sz w:val="22"/>
                <w:szCs w:val="22"/>
              </w:rPr>
              <w:t>W</w:t>
            </w:r>
            <w:r w:rsidRPr="003D5991">
              <w:rPr>
                <w:rFonts w:ascii="Arial" w:eastAsia="Arial" w:hAnsi="Arial" w:cs="Arial"/>
                <w:color w:val="000000" w:themeColor="text1"/>
                <w:sz w:val="22"/>
                <w:szCs w:val="22"/>
              </w:rPr>
              <w:t>ells</w:t>
            </w:r>
          </w:p>
        </w:tc>
        <w:tc>
          <w:tcPr>
            <w:tcW w:w="1232" w:type="dxa"/>
            <w:shd w:val="clear" w:color="auto" w:fill="auto"/>
            <w:vAlign w:val="center"/>
          </w:tcPr>
          <w:p w14:paraId="3DA3ECB7" w14:textId="77777777" w:rsidR="00995FDC" w:rsidRPr="00995FDC" w:rsidRDefault="00995FDC" w:rsidP="00995FDC">
            <w:pPr>
              <w:pStyle w:val="Default"/>
              <w:spacing w:line="276" w:lineRule="auto"/>
              <w:jc w:val="center"/>
              <w:rPr>
                <w:rFonts w:ascii="Arial" w:eastAsia="Arial" w:hAnsi="Arial" w:cs="Arial"/>
                <w:color w:val="FF0000"/>
                <w:sz w:val="22"/>
                <w:szCs w:val="22"/>
              </w:rPr>
            </w:pPr>
            <w:r w:rsidRPr="00995FDC">
              <w:rPr>
                <w:rFonts w:ascii="Arial" w:hAnsi="Arial" w:cs="Arial"/>
                <w:sz w:val="22"/>
                <w:szCs w:val="22"/>
              </w:rPr>
              <w:t>69.3</w:t>
            </w:r>
          </w:p>
        </w:tc>
        <w:tc>
          <w:tcPr>
            <w:tcW w:w="1536" w:type="dxa"/>
            <w:shd w:val="clear" w:color="auto" w:fill="auto"/>
            <w:vAlign w:val="center"/>
          </w:tcPr>
          <w:p w14:paraId="54BCEB17"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2.4%</w:t>
            </w:r>
          </w:p>
        </w:tc>
        <w:tc>
          <w:tcPr>
            <w:tcW w:w="1196" w:type="dxa"/>
            <w:shd w:val="clear" w:color="auto" w:fill="auto"/>
            <w:vAlign w:val="center"/>
          </w:tcPr>
          <w:p w14:paraId="6E93BD8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£676.70</w:t>
            </w:r>
          </w:p>
        </w:tc>
        <w:tc>
          <w:tcPr>
            <w:tcW w:w="1220" w:type="dxa"/>
            <w:shd w:val="clear" w:color="auto" w:fill="auto"/>
            <w:vAlign w:val="center"/>
          </w:tcPr>
          <w:p w14:paraId="34DBAF27"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12.2%</w:t>
            </w:r>
          </w:p>
        </w:tc>
        <w:tc>
          <w:tcPr>
            <w:tcW w:w="1072" w:type="dxa"/>
            <w:shd w:val="clear" w:color="auto" w:fill="auto"/>
            <w:vAlign w:val="center"/>
          </w:tcPr>
          <w:p w14:paraId="6ADB386B"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0.92</w:t>
            </w:r>
          </w:p>
        </w:tc>
        <w:tc>
          <w:tcPr>
            <w:tcW w:w="890" w:type="dxa"/>
            <w:shd w:val="clear" w:color="auto" w:fill="auto"/>
            <w:vAlign w:val="center"/>
          </w:tcPr>
          <w:p w14:paraId="7710451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£37.00</w:t>
            </w:r>
          </w:p>
        </w:tc>
        <w:tc>
          <w:tcPr>
            <w:tcW w:w="1354" w:type="dxa"/>
            <w:shd w:val="clear" w:color="auto" w:fill="auto"/>
            <w:vAlign w:val="center"/>
          </w:tcPr>
          <w:p w14:paraId="4638B7F6"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88.9%</w:t>
            </w:r>
          </w:p>
        </w:tc>
        <w:tc>
          <w:tcPr>
            <w:tcW w:w="1378" w:type="dxa"/>
            <w:shd w:val="clear" w:color="auto" w:fill="auto"/>
            <w:vAlign w:val="center"/>
          </w:tcPr>
          <w:p w14:paraId="08F64265"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41.1%</w:t>
            </w:r>
          </w:p>
        </w:tc>
        <w:tc>
          <w:tcPr>
            <w:tcW w:w="1280" w:type="dxa"/>
            <w:shd w:val="clear" w:color="auto" w:fill="auto"/>
            <w:vAlign w:val="center"/>
          </w:tcPr>
          <w:p w14:paraId="6A5DD0FD"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57.0%</w:t>
            </w:r>
          </w:p>
        </w:tc>
        <w:tc>
          <w:tcPr>
            <w:tcW w:w="1170" w:type="dxa"/>
            <w:shd w:val="clear" w:color="auto" w:fill="auto"/>
            <w:vAlign w:val="center"/>
          </w:tcPr>
          <w:p w14:paraId="2C2771DF"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eastAsia="Arial" w:hAnsi="Arial" w:cs="Arial"/>
                <w:color w:val="000000" w:themeColor="text1"/>
                <w:sz w:val="22"/>
                <w:szCs w:val="22"/>
              </w:rPr>
              <w:t>15.2%</w:t>
            </w:r>
          </w:p>
        </w:tc>
        <w:tc>
          <w:tcPr>
            <w:tcW w:w="1097" w:type="dxa"/>
            <w:shd w:val="clear" w:color="auto" w:fill="auto"/>
            <w:vAlign w:val="center"/>
          </w:tcPr>
          <w:p w14:paraId="00484A70" w14:textId="77777777" w:rsidR="00995FDC" w:rsidRPr="00995FDC" w:rsidRDefault="00995FDC" w:rsidP="00995FDC">
            <w:pPr>
              <w:pStyle w:val="Default"/>
              <w:spacing w:line="276" w:lineRule="auto"/>
              <w:jc w:val="center"/>
              <w:rPr>
                <w:rFonts w:ascii="Arial" w:eastAsia="Arial" w:hAnsi="Arial" w:cs="Arial"/>
                <w:color w:val="000000" w:themeColor="text1"/>
                <w:sz w:val="22"/>
                <w:szCs w:val="22"/>
              </w:rPr>
            </w:pPr>
            <w:r w:rsidRPr="00995FDC">
              <w:rPr>
                <w:rFonts w:ascii="Arial" w:hAnsi="Arial" w:cs="Arial"/>
                <w:sz w:val="22"/>
                <w:szCs w:val="22"/>
              </w:rPr>
              <w:t>2.9%</w:t>
            </w:r>
          </w:p>
        </w:tc>
        <w:tc>
          <w:tcPr>
            <w:tcW w:w="1109" w:type="dxa"/>
            <w:shd w:val="clear" w:color="auto" w:fill="auto"/>
            <w:vAlign w:val="center"/>
          </w:tcPr>
          <w:p w14:paraId="705C56AB" w14:textId="77777777" w:rsidR="00995FDC" w:rsidRPr="00995FDC" w:rsidRDefault="00995FDC" w:rsidP="00995FDC">
            <w:pPr>
              <w:pStyle w:val="Default"/>
              <w:spacing w:line="276" w:lineRule="auto"/>
              <w:jc w:val="center"/>
              <w:rPr>
                <w:rFonts w:ascii="Arial" w:hAnsi="Arial" w:cs="Arial"/>
                <w:sz w:val="22"/>
                <w:szCs w:val="22"/>
              </w:rPr>
            </w:pPr>
            <w:r w:rsidRPr="00995FDC">
              <w:rPr>
                <w:rFonts w:ascii="Arial" w:hAnsi="Arial" w:cs="Arial"/>
                <w:sz w:val="22"/>
                <w:szCs w:val="22"/>
              </w:rPr>
              <w:t>65.1%</w:t>
            </w:r>
          </w:p>
        </w:tc>
      </w:tr>
    </w:tbl>
    <w:p w14:paraId="3FB42F2C" w14:textId="77777777" w:rsidR="00995FDC" w:rsidRDefault="00995FDC" w:rsidP="00995FDC">
      <w:pPr>
        <w:pStyle w:val="Default"/>
        <w:rPr>
          <w:rFonts w:ascii="Arial" w:eastAsia="Arial" w:hAnsi="Arial" w:cs="Arial"/>
          <w:color w:val="365F91" w:themeColor="accent1" w:themeShade="BF"/>
          <w:sz w:val="26"/>
          <w:szCs w:val="26"/>
        </w:rPr>
      </w:pPr>
    </w:p>
    <w:p w14:paraId="7E82754F" w14:textId="3B9D923D" w:rsidR="00995FDC" w:rsidRDefault="00995FDC" w:rsidP="00995FDC">
      <w:pPr>
        <w:pStyle w:val="Default"/>
        <w:rPr>
          <w:rFonts w:ascii="Arial" w:eastAsia="Arial" w:hAnsi="Arial" w:cs="Arial"/>
          <w:color w:val="365F91" w:themeColor="accent1" w:themeShade="BF"/>
          <w:sz w:val="26"/>
          <w:szCs w:val="26"/>
        </w:rPr>
      </w:pPr>
    </w:p>
    <w:p w14:paraId="27000202" w14:textId="4659C405" w:rsidR="00995FDC" w:rsidRDefault="00995FDC" w:rsidP="00995FDC">
      <w:pPr>
        <w:pStyle w:val="Default"/>
        <w:rPr>
          <w:rFonts w:ascii="Arial" w:eastAsia="Arial" w:hAnsi="Arial" w:cs="Arial"/>
          <w:color w:val="365F91" w:themeColor="accent1" w:themeShade="BF"/>
          <w:sz w:val="26"/>
          <w:szCs w:val="26"/>
        </w:rPr>
      </w:pPr>
    </w:p>
    <w:p w14:paraId="7CC1BD9E" w14:textId="2F945361" w:rsidR="00995FDC" w:rsidRDefault="00995FDC" w:rsidP="00995FDC">
      <w:pPr>
        <w:pStyle w:val="Default"/>
        <w:rPr>
          <w:rFonts w:ascii="Arial" w:eastAsia="Arial" w:hAnsi="Arial" w:cs="Arial"/>
          <w:color w:val="365F91" w:themeColor="accent1" w:themeShade="BF"/>
          <w:sz w:val="26"/>
          <w:szCs w:val="26"/>
        </w:rPr>
      </w:pPr>
    </w:p>
    <w:p w14:paraId="684F892D" w14:textId="4E4E747D" w:rsidR="00995FDC" w:rsidRDefault="00995FDC" w:rsidP="00995FDC">
      <w:pPr>
        <w:pStyle w:val="Default"/>
        <w:rPr>
          <w:rFonts w:ascii="Arial" w:eastAsia="Arial" w:hAnsi="Arial" w:cs="Arial"/>
          <w:color w:val="365F91" w:themeColor="accent1" w:themeShade="BF"/>
          <w:sz w:val="26"/>
          <w:szCs w:val="26"/>
        </w:rPr>
      </w:pPr>
    </w:p>
    <w:p w14:paraId="32D7C3E4" w14:textId="1A82CB8F" w:rsidR="00995FDC" w:rsidRDefault="00995FDC" w:rsidP="00995FDC">
      <w:pPr>
        <w:pStyle w:val="Default"/>
        <w:rPr>
          <w:rFonts w:ascii="Arial" w:eastAsia="Arial" w:hAnsi="Arial" w:cs="Arial"/>
          <w:color w:val="365F91" w:themeColor="accent1" w:themeShade="BF"/>
          <w:sz w:val="26"/>
          <w:szCs w:val="26"/>
        </w:rPr>
      </w:pPr>
    </w:p>
    <w:p w14:paraId="26C7FC9A" w14:textId="613256A4" w:rsidR="00995FDC" w:rsidRDefault="00995FDC" w:rsidP="00995FDC">
      <w:pPr>
        <w:pStyle w:val="Default"/>
        <w:rPr>
          <w:rFonts w:ascii="Arial" w:eastAsia="Arial" w:hAnsi="Arial" w:cs="Arial"/>
          <w:color w:val="365F91" w:themeColor="accent1" w:themeShade="BF"/>
          <w:sz w:val="26"/>
          <w:szCs w:val="26"/>
        </w:rPr>
      </w:pPr>
    </w:p>
    <w:p w14:paraId="6332C258" w14:textId="77777777" w:rsidR="00995FDC" w:rsidRDefault="00995FDC" w:rsidP="00995FDC">
      <w:pPr>
        <w:pStyle w:val="Default"/>
        <w:rPr>
          <w:rFonts w:ascii="Arial" w:eastAsia="Arial" w:hAnsi="Arial" w:cs="Arial"/>
          <w:color w:val="365F91" w:themeColor="accent1" w:themeShade="BF"/>
          <w:sz w:val="26"/>
          <w:szCs w:val="26"/>
        </w:rPr>
      </w:pPr>
    </w:p>
    <w:p w14:paraId="6EB11277" w14:textId="77777777" w:rsidR="00CF073B" w:rsidRPr="00F27970" w:rsidRDefault="00CF073B" w:rsidP="00F27970">
      <w:pPr>
        <w:autoSpaceDE w:val="0"/>
        <w:autoSpaceDN w:val="0"/>
        <w:adjustRightInd w:val="0"/>
        <w:spacing w:after="0" w:line="240" w:lineRule="auto"/>
        <w:rPr>
          <w:rFonts w:ascii="Arial" w:hAnsi="Arial" w:cs="Arial"/>
          <w:color w:val="000000"/>
        </w:rPr>
      </w:pPr>
    </w:p>
    <w:p w14:paraId="7CA9F8BB" w14:textId="77777777" w:rsidR="00A81634" w:rsidRDefault="00A81634" w:rsidP="00A81634">
      <w:pPr>
        <w:pStyle w:val="Default"/>
        <w:rPr>
          <w:rFonts w:ascii="Arial" w:eastAsia="Arial" w:hAnsi="Arial" w:cs="Arial"/>
          <w:color w:val="365F91" w:themeColor="accent1" w:themeShade="BF"/>
          <w:sz w:val="26"/>
          <w:szCs w:val="26"/>
        </w:rPr>
      </w:pPr>
      <w:r>
        <w:rPr>
          <w:rFonts w:ascii="Arial" w:eastAsia="Arial" w:hAnsi="Arial" w:cs="Arial"/>
          <w:color w:val="365F91" w:themeColor="accent1" w:themeShade="BF"/>
          <w:sz w:val="26"/>
          <w:szCs w:val="26"/>
        </w:rPr>
        <w:lastRenderedPageBreak/>
        <w:t>4</w:t>
      </w:r>
      <w:r w:rsidRPr="00035718">
        <w:rPr>
          <w:rFonts w:ascii="Arial" w:eastAsia="Arial" w:hAnsi="Arial" w:cs="Arial"/>
          <w:color w:val="365F91" w:themeColor="accent1" w:themeShade="BF"/>
          <w:sz w:val="26"/>
          <w:szCs w:val="26"/>
        </w:rPr>
        <w:t xml:space="preserve">. </w:t>
      </w:r>
      <w:r>
        <w:rPr>
          <w:rFonts w:ascii="Arial" w:eastAsia="Arial" w:hAnsi="Arial" w:cs="Arial"/>
          <w:color w:val="365F91" w:themeColor="accent1" w:themeShade="BF"/>
          <w:sz w:val="26"/>
          <w:szCs w:val="26"/>
        </w:rPr>
        <w:t>People</w:t>
      </w:r>
    </w:p>
    <w:p w14:paraId="1FB81812" w14:textId="77777777" w:rsidR="00A81634" w:rsidRPr="0041409A" w:rsidRDefault="00A81634" w:rsidP="00A81634">
      <w:pPr>
        <w:pStyle w:val="NoSpacing"/>
        <w:rPr>
          <w:rFonts w:ascii="Arial" w:hAnsi="Arial" w:cs="Arial"/>
        </w:rPr>
      </w:pPr>
      <w:r>
        <w:br/>
      </w:r>
      <w:r w:rsidRPr="0041409A">
        <w:rPr>
          <w:rFonts w:ascii="Arial" w:hAnsi="Arial" w:cs="Arial"/>
        </w:rPr>
        <w:t xml:space="preserve">Gravesham is a vibrant and culturally rich borough located in </w:t>
      </w:r>
      <w:r>
        <w:rPr>
          <w:rFonts w:ascii="Arial" w:hAnsi="Arial" w:cs="Arial"/>
        </w:rPr>
        <w:t>n</w:t>
      </w:r>
      <w:r w:rsidRPr="0041409A">
        <w:rPr>
          <w:rFonts w:ascii="Arial" w:hAnsi="Arial" w:cs="Arial"/>
        </w:rPr>
        <w:t xml:space="preserve">orth </w:t>
      </w:r>
      <w:r>
        <w:rPr>
          <w:rFonts w:ascii="Arial" w:hAnsi="Arial" w:cs="Arial"/>
        </w:rPr>
        <w:t>K</w:t>
      </w:r>
      <w:r w:rsidRPr="0041409A">
        <w:rPr>
          <w:rFonts w:ascii="Arial" w:hAnsi="Arial" w:cs="Arial"/>
        </w:rPr>
        <w:t xml:space="preserve">ent, renowned for its physical and social diversity. </w:t>
      </w:r>
    </w:p>
    <w:p w14:paraId="74802102" w14:textId="77777777" w:rsidR="00A81634" w:rsidRPr="0041409A" w:rsidRDefault="00A81634" w:rsidP="00A81634">
      <w:pPr>
        <w:pStyle w:val="NoSpacing"/>
        <w:rPr>
          <w:rFonts w:ascii="Arial" w:hAnsi="Arial" w:cs="Arial"/>
        </w:rPr>
      </w:pPr>
    </w:p>
    <w:p w14:paraId="727F4BF3" w14:textId="77777777" w:rsidR="00A81634" w:rsidRPr="0041409A" w:rsidRDefault="00A81634" w:rsidP="00A81634">
      <w:pPr>
        <w:pStyle w:val="NoSpacing"/>
        <w:rPr>
          <w:rFonts w:ascii="Arial" w:hAnsi="Arial" w:cs="Arial"/>
        </w:rPr>
      </w:pPr>
      <w:r w:rsidRPr="0041409A">
        <w:rPr>
          <w:rFonts w:ascii="Arial" w:hAnsi="Arial" w:cs="Arial"/>
        </w:rPr>
        <w:t>Central to understanding the local community and its socio-demographic picture is the national Census</w:t>
      </w:r>
      <w:r>
        <w:rPr>
          <w:rFonts w:ascii="Arial" w:hAnsi="Arial" w:cs="Arial"/>
        </w:rPr>
        <w:t>,</w:t>
      </w:r>
      <w:r w:rsidRPr="0041409A">
        <w:rPr>
          <w:rFonts w:ascii="Arial" w:hAnsi="Arial" w:cs="Arial"/>
        </w:rPr>
        <w:t xml:space="preserve"> undertaken by the O</w:t>
      </w:r>
      <w:r>
        <w:rPr>
          <w:rFonts w:ascii="Arial" w:hAnsi="Arial" w:cs="Arial"/>
        </w:rPr>
        <w:t>NS</w:t>
      </w:r>
      <w:r w:rsidRPr="0041409A">
        <w:rPr>
          <w:rFonts w:ascii="Arial" w:hAnsi="Arial" w:cs="Arial"/>
        </w:rPr>
        <w:t xml:space="preserve"> every 10 years.  The last national Census was taken on 21 March 2021 and the results are used throughout this Community Profile.  </w:t>
      </w:r>
    </w:p>
    <w:p w14:paraId="18919DCB" w14:textId="77777777" w:rsidR="00A81634" w:rsidRPr="0041409A" w:rsidRDefault="00A81634" w:rsidP="00A81634">
      <w:pPr>
        <w:pStyle w:val="NoSpacing"/>
        <w:rPr>
          <w:rFonts w:ascii="Arial" w:hAnsi="Arial" w:cs="Arial"/>
        </w:rPr>
      </w:pPr>
    </w:p>
    <w:p w14:paraId="255F399B" w14:textId="77777777" w:rsidR="00A81634" w:rsidRPr="0041409A" w:rsidRDefault="00A81634" w:rsidP="00A81634">
      <w:pPr>
        <w:pStyle w:val="NoSpacing"/>
        <w:rPr>
          <w:rFonts w:ascii="Arial" w:hAnsi="Arial" w:cs="Arial"/>
        </w:rPr>
      </w:pPr>
      <w:r w:rsidRPr="0041409A">
        <w:rPr>
          <w:rFonts w:ascii="Arial" w:hAnsi="Arial" w:cs="Arial"/>
        </w:rPr>
        <w:t xml:space="preserve">Understanding our local community </w:t>
      </w:r>
      <w:r>
        <w:rPr>
          <w:rFonts w:ascii="Arial" w:hAnsi="Arial" w:cs="Arial"/>
        </w:rPr>
        <w:t xml:space="preserve">is essential for us </w:t>
      </w:r>
      <w:r w:rsidRPr="0041409A">
        <w:rPr>
          <w:rFonts w:ascii="Arial" w:hAnsi="Arial" w:cs="Arial"/>
        </w:rPr>
        <w:t>to effectively deliver on our Public Sector Equality Duty; ensuring we provide an equal and fair service to all residents and helping to remove barriers that people face in everyday life. As such, the key demographic content analysed in this chapter is based upon the protected characteristics as defined by the Equality Act 2010:</w:t>
      </w:r>
    </w:p>
    <w:p w14:paraId="5131C660"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Age;</w:t>
      </w:r>
    </w:p>
    <w:p w14:paraId="7D942D42"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 xml:space="preserve">Disability; </w:t>
      </w:r>
    </w:p>
    <w:p w14:paraId="38993BC2"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Gender reassignment;</w:t>
      </w:r>
    </w:p>
    <w:p w14:paraId="699641D6"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Marriage and civil partnership;</w:t>
      </w:r>
    </w:p>
    <w:p w14:paraId="4468B012"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Pregnancy and maternity;</w:t>
      </w:r>
    </w:p>
    <w:p w14:paraId="7F3769A4"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 xml:space="preserve">Race; </w:t>
      </w:r>
    </w:p>
    <w:p w14:paraId="0BDCC73F"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 xml:space="preserve">Religion or belief; </w:t>
      </w:r>
    </w:p>
    <w:p w14:paraId="2FD4695F" w14:textId="77777777" w:rsidR="00A81634" w:rsidRPr="0041409A" w:rsidRDefault="00A81634" w:rsidP="00A81634">
      <w:pPr>
        <w:pStyle w:val="ListParagraph"/>
        <w:numPr>
          <w:ilvl w:val="0"/>
          <w:numId w:val="11"/>
        </w:numPr>
        <w:rPr>
          <w:rFonts w:ascii="Arial" w:hAnsi="Arial" w:cs="Arial"/>
        </w:rPr>
      </w:pPr>
      <w:r w:rsidRPr="0041409A">
        <w:rPr>
          <w:rFonts w:ascii="Arial" w:hAnsi="Arial" w:cs="Arial"/>
        </w:rPr>
        <w:t>Sex; and</w:t>
      </w:r>
    </w:p>
    <w:p w14:paraId="02DB1ECF" w14:textId="77777777" w:rsidR="00A81634" w:rsidRDefault="00A81634" w:rsidP="00A81634">
      <w:pPr>
        <w:pStyle w:val="ListParagraph"/>
        <w:numPr>
          <w:ilvl w:val="0"/>
          <w:numId w:val="11"/>
        </w:numPr>
        <w:rPr>
          <w:rFonts w:ascii="Arial" w:hAnsi="Arial" w:cs="Arial"/>
        </w:rPr>
      </w:pPr>
      <w:r w:rsidRPr="0041409A">
        <w:rPr>
          <w:rFonts w:ascii="Arial" w:hAnsi="Arial" w:cs="Arial"/>
        </w:rPr>
        <w:t>Sexual orientation.</w:t>
      </w:r>
    </w:p>
    <w:p w14:paraId="2B398EA4" w14:textId="77777777" w:rsidR="00A81634" w:rsidRDefault="00000000" w:rsidP="00A81634">
      <w:pPr>
        <w:rPr>
          <w:rFonts w:ascii="Arial" w:hAnsi="Arial" w:cs="Arial"/>
        </w:rPr>
      </w:pPr>
      <w:hyperlink r:id="rId7" w:history="1">
        <w:r w:rsidR="00A81634" w:rsidRPr="00FF4051">
          <w:rPr>
            <w:rStyle w:val="Hyperlink"/>
            <w:rFonts w:ascii="Arial" w:hAnsi="Arial" w:cs="Arial"/>
          </w:rPr>
          <w:t>Read details of our work to deliver the Public Sector Equality Duty.</w:t>
        </w:r>
      </w:hyperlink>
    </w:p>
    <w:p w14:paraId="5A220032" w14:textId="77777777" w:rsidR="00A81634" w:rsidRPr="0041409A" w:rsidRDefault="00A81634" w:rsidP="00A81634">
      <w:pPr>
        <w:pStyle w:val="NoSpacing"/>
        <w:rPr>
          <w:rFonts w:ascii="Arial" w:hAnsi="Arial" w:cs="Arial"/>
          <w:color w:val="365F91" w:themeColor="accent1" w:themeShade="BF"/>
          <w:sz w:val="24"/>
          <w:szCs w:val="24"/>
        </w:rPr>
      </w:pPr>
      <w:r w:rsidRPr="0041409A">
        <w:rPr>
          <w:rFonts w:ascii="Arial" w:hAnsi="Arial" w:cs="Arial"/>
          <w:color w:val="365F91" w:themeColor="accent1" w:themeShade="BF"/>
          <w:sz w:val="24"/>
          <w:szCs w:val="24"/>
        </w:rPr>
        <w:t xml:space="preserve">Overall </w:t>
      </w:r>
    </w:p>
    <w:p w14:paraId="656E6E1B" w14:textId="77777777" w:rsidR="00A81634" w:rsidRPr="00022310" w:rsidRDefault="00A81634" w:rsidP="00A81634">
      <w:pPr>
        <w:pStyle w:val="NoSpacing"/>
        <w:rPr>
          <w:rFonts w:ascii="Arial" w:hAnsi="Arial" w:cs="Arial"/>
        </w:rPr>
      </w:pPr>
    </w:p>
    <w:p w14:paraId="5882E9E2" w14:textId="77777777" w:rsidR="00A81634" w:rsidRPr="0041409A" w:rsidRDefault="00A81634" w:rsidP="00A81634">
      <w:pPr>
        <w:pStyle w:val="NoSpacing"/>
        <w:rPr>
          <w:rFonts w:ascii="Arial" w:hAnsi="Arial" w:cs="Arial"/>
        </w:rPr>
      </w:pPr>
      <w:r w:rsidRPr="0041409A">
        <w:rPr>
          <w:rFonts w:ascii="Arial" w:hAnsi="Arial" w:cs="Arial"/>
        </w:rPr>
        <w:t>Gravesham has a comparatively young resident population of 10</w:t>
      </w:r>
      <w:r>
        <w:rPr>
          <w:rFonts w:ascii="Arial" w:hAnsi="Arial" w:cs="Arial"/>
        </w:rPr>
        <w:t>7</w:t>
      </w:r>
      <w:r w:rsidRPr="0041409A">
        <w:rPr>
          <w:rFonts w:ascii="Arial" w:hAnsi="Arial" w:cs="Arial"/>
        </w:rPr>
        <w:t>,</w:t>
      </w:r>
      <w:r>
        <w:rPr>
          <w:rFonts w:ascii="Arial" w:hAnsi="Arial" w:cs="Arial"/>
        </w:rPr>
        <w:t>0</w:t>
      </w:r>
      <w:r w:rsidRPr="0041409A">
        <w:rPr>
          <w:rFonts w:ascii="Arial" w:hAnsi="Arial" w:cs="Arial"/>
        </w:rPr>
        <w:t>00, the lowest figure across the 12 Kent district areas. This represents a growth rate of 5.0% in the last 10 years, below the equivalent Kent (7.6%) and national (6.4%) figures, with natural growth (more births than deaths) and an established history of inward migration Gravesham’s primary sources of population expansion (</w:t>
      </w:r>
      <w:r w:rsidRPr="0041409A">
        <w:rPr>
          <w:rFonts w:ascii="Arial" w:hAnsi="Arial" w:cs="Arial"/>
          <w:b/>
          <w:bCs/>
        </w:rPr>
        <w:t>Table 1</w:t>
      </w:r>
      <w:r w:rsidRPr="0041409A">
        <w:rPr>
          <w:rFonts w:ascii="Arial" w:hAnsi="Arial" w:cs="Arial"/>
        </w:rPr>
        <w:t xml:space="preserve">). </w:t>
      </w:r>
    </w:p>
    <w:p w14:paraId="31536868" w14:textId="77777777" w:rsidR="00A81634" w:rsidRPr="0041409A" w:rsidRDefault="00A81634" w:rsidP="00A81634">
      <w:pPr>
        <w:pStyle w:val="NoSpacing"/>
        <w:rPr>
          <w:rFonts w:ascii="Arial" w:hAnsi="Arial" w:cs="Arial"/>
        </w:rPr>
      </w:pPr>
    </w:p>
    <w:p w14:paraId="67D9276F" w14:textId="77777777" w:rsidR="00A81634" w:rsidRPr="0041409A" w:rsidRDefault="00A81634" w:rsidP="00A81634">
      <w:pPr>
        <w:pStyle w:val="NoSpacing"/>
        <w:rPr>
          <w:rFonts w:ascii="Arial" w:hAnsi="Arial" w:cs="Arial"/>
        </w:rPr>
      </w:pPr>
      <w:r w:rsidRPr="0041409A">
        <w:rPr>
          <w:rFonts w:ascii="Arial" w:hAnsi="Arial" w:cs="Arial"/>
        </w:rPr>
        <w:t>As a borough, Gravesham presents the third highest population density in Kent (10.8 persons per hectare (p/h)). However, with 80% of residents living in in Gravesend and Northfleet in the north of the borough (c20% of the area), Gravesham’s defined urban area presents a density of 37.43 persons / hectare, the most densely populated equivalent area across Kent districts (</w:t>
      </w:r>
      <w:r w:rsidRPr="0041409A">
        <w:rPr>
          <w:rFonts w:ascii="Arial" w:hAnsi="Arial" w:cs="Arial"/>
          <w:b/>
          <w:bCs/>
        </w:rPr>
        <w:t>Table 2</w:t>
      </w:r>
      <w:r w:rsidRPr="0041409A">
        <w:rPr>
          <w:rFonts w:ascii="Arial" w:hAnsi="Arial" w:cs="Arial"/>
        </w:rPr>
        <w:t xml:space="preserve">). </w:t>
      </w:r>
    </w:p>
    <w:p w14:paraId="10CABC5F" w14:textId="77777777" w:rsidR="00A81634" w:rsidRPr="0041409A" w:rsidRDefault="00A81634" w:rsidP="00A81634">
      <w:pPr>
        <w:pStyle w:val="NoSpacing"/>
        <w:rPr>
          <w:rFonts w:ascii="Arial" w:hAnsi="Arial" w:cs="Arial"/>
        </w:rPr>
      </w:pPr>
    </w:p>
    <w:p w14:paraId="4CA94354" w14:textId="77777777" w:rsidR="00A81634" w:rsidRDefault="00A81634" w:rsidP="00A81634">
      <w:pPr>
        <w:rPr>
          <w:rFonts w:ascii="Arial" w:hAnsi="Arial" w:cs="Arial"/>
        </w:rPr>
      </w:pPr>
    </w:p>
    <w:p w14:paraId="1488DDE9" w14:textId="3420C060" w:rsidR="00A81634" w:rsidRDefault="00A81634" w:rsidP="00A81634">
      <w:pPr>
        <w:rPr>
          <w:rFonts w:ascii="Arial" w:hAnsi="Arial" w:cs="Arial"/>
        </w:rPr>
      </w:pPr>
    </w:p>
    <w:p w14:paraId="6780F18C" w14:textId="58BF7D6C" w:rsidR="00A81634" w:rsidRDefault="00A81634" w:rsidP="00A81634">
      <w:pPr>
        <w:rPr>
          <w:rFonts w:ascii="Arial" w:hAnsi="Arial" w:cs="Arial"/>
        </w:rPr>
      </w:pPr>
    </w:p>
    <w:p w14:paraId="453B71D9" w14:textId="77777777" w:rsidR="00A81634" w:rsidRDefault="00A81634" w:rsidP="00A81634">
      <w:pPr>
        <w:rPr>
          <w:rFonts w:ascii="Arial" w:hAnsi="Arial" w:cs="Arial"/>
        </w:rPr>
      </w:pPr>
    </w:p>
    <w:p w14:paraId="61B5F8CD" w14:textId="77777777" w:rsidR="00A81634" w:rsidRPr="0041409A" w:rsidRDefault="00A81634" w:rsidP="00A81634">
      <w:pPr>
        <w:pStyle w:val="NoSpacing"/>
        <w:rPr>
          <w:rFonts w:ascii="Arial" w:hAnsi="Arial" w:cs="Arial"/>
          <w:sz w:val="24"/>
          <w:szCs w:val="24"/>
        </w:rPr>
      </w:pPr>
      <w:r w:rsidRPr="0041409A">
        <w:rPr>
          <w:rFonts w:ascii="Arial" w:hAnsi="Arial" w:cs="Arial"/>
          <w:color w:val="365F91" w:themeColor="accent1" w:themeShade="BF"/>
          <w:sz w:val="24"/>
          <w:szCs w:val="24"/>
        </w:rPr>
        <w:lastRenderedPageBreak/>
        <w:t>Age</w:t>
      </w:r>
      <w:r w:rsidRPr="0041409A">
        <w:rPr>
          <w:rFonts w:ascii="Arial" w:hAnsi="Arial" w:cs="Arial"/>
          <w:sz w:val="24"/>
          <w:szCs w:val="24"/>
        </w:rPr>
        <w:t xml:space="preserve"> </w:t>
      </w:r>
    </w:p>
    <w:p w14:paraId="1D16C36A" w14:textId="77777777" w:rsidR="00A81634" w:rsidRPr="00022310" w:rsidRDefault="00A81634" w:rsidP="00A81634">
      <w:pPr>
        <w:pStyle w:val="NoSpacing"/>
        <w:rPr>
          <w:rFonts w:ascii="Arial" w:hAnsi="Arial" w:cs="Arial"/>
        </w:rPr>
      </w:pPr>
    </w:p>
    <w:p w14:paraId="0D53856A" w14:textId="77777777" w:rsidR="00A81634" w:rsidRPr="0041409A" w:rsidRDefault="00A81634" w:rsidP="00A81634">
      <w:pPr>
        <w:pStyle w:val="NoSpacing"/>
        <w:rPr>
          <w:rFonts w:ascii="Arial" w:hAnsi="Arial" w:cs="Arial"/>
        </w:rPr>
      </w:pPr>
      <w:r w:rsidRPr="0041409A">
        <w:rPr>
          <w:rFonts w:ascii="Arial" w:hAnsi="Arial" w:cs="Arial"/>
        </w:rPr>
        <w:t>The mean average age for a Gravesham resident is 39.5 years, up from 38.7 years in 2011 and 38.2 years in 2001. Gravesham’s position is however the second lowest in Kent behind Dartford (37.5 years) and presents a younger figure than the county (41.6 years) and national (40.6 years) averages. The borough’s largest age cohort is 30 to 34 (</w:t>
      </w:r>
      <w:r w:rsidRPr="0041409A">
        <w:rPr>
          <w:rFonts w:ascii="Arial" w:hAnsi="Arial" w:cs="Arial"/>
          <w:b/>
          <w:bCs/>
        </w:rPr>
        <w:t>Table 3</w:t>
      </w:r>
      <w:r w:rsidRPr="0041409A">
        <w:rPr>
          <w:rFonts w:ascii="Arial" w:hAnsi="Arial" w:cs="Arial"/>
        </w:rPr>
        <w:t>).</w:t>
      </w:r>
    </w:p>
    <w:p w14:paraId="5831E70F" w14:textId="77777777" w:rsidR="00A81634" w:rsidRPr="0041409A" w:rsidRDefault="00A81634" w:rsidP="00A81634">
      <w:pPr>
        <w:pStyle w:val="NoSpacing"/>
        <w:rPr>
          <w:rFonts w:ascii="Arial" w:hAnsi="Arial" w:cs="Arial"/>
        </w:rPr>
      </w:pPr>
    </w:p>
    <w:p w14:paraId="0D7A0318" w14:textId="77777777" w:rsidR="00A81634" w:rsidRPr="0041409A" w:rsidRDefault="00A81634" w:rsidP="00A81634">
      <w:pPr>
        <w:pStyle w:val="NoSpacing"/>
        <w:rPr>
          <w:rFonts w:ascii="Arial" w:hAnsi="Arial" w:cs="Arial"/>
        </w:rPr>
      </w:pPr>
      <w:r w:rsidRPr="0041409A">
        <w:rPr>
          <w:rFonts w:ascii="Arial" w:hAnsi="Arial" w:cs="Arial"/>
        </w:rPr>
        <w:t>Gravesham presents a General Fertility Rate (GFR) (live births per 1,000 women) of 61.0, the fourth highest rate in Kent and ahead of the county (58.2) and national (54.1) averages. As a borough with a relatively young demographic, the GFR has contributed to 23.3% of Gravesham residents now being identified as aged under 18, ahead of the national average (20.8%). Despite this, an estimated 18,500 residents (17.3%) in Gravesham are aged over 65 years and, in line with local and national population growth in the past 10 years, this figure is projected to increase by over a third by 2040 (</w:t>
      </w:r>
      <w:r w:rsidRPr="0041409A">
        <w:rPr>
          <w:rFonts w:ascii="Arial" w:hAnsi="Arial" w:cs="Arial"/>
          <w:b/>
          <w:bCs/>
        </w:rPr>
        <w:t>Table 4</w:t>
      </w:r>
      <w:r w:rsidRPr="0041409A">
        <w:rPr>
          <w:rFonts w:ascii="Arial" w:hAnsi="Arial" w:cs="Arial"/>
        </w:rPr>
        <w:t xml:space="preserve">). </w:t>
      </w:r>
    </w:p>
    <w:p w14:paraId="1CD55EA0" w14:textId="77777777" w:rsidR="00A81634" w:rsidRPr="0041409A" w:rsidRDefault="00A81634" w:rsidP="00A81634">
      <w:pPr>
        <w:pStyle w:val="NoSpacing"/>
      </w:pPr>
    </w:p>
    <w:p w14:paraId="409BEEBA" w14:textId="77777777" w:rsidR="00A81634" w:rsidRPr="0041409A" w:rsidRDefault="00A81634" w:rsidP="00A81634">
      <w:pPr>
        <w:pStyle w:val="NoSpacing"/>
        <w:rPr>
          <w:rFonts w:ascii="Arial" w:hAnsi="Arial" w:cs="Arial"/>
          <w:color w:val="365F91" w:themeColor="accent1" w:themeShade="BF"/>
          <w:sz w:val="24"/>
          <w:szCs w:val="24"/>
        </w:rPr>
      </w:pPr>
      <w:r w:rsidRPr="0041409A">
        <w:rPr>
          <w:rFonts w:ascii="Arial" w:hAnsi="Arial" w:cs="Arial"/>
          <w:color w:val="365F91" w:themeColor="accent1" w:themeShade="BF"/>
          <w:sz w:val="24"/>
          <w:szCs w:val="24"/>
        </w:rPr>
        <w:t xml:space="preserve">Households </w:t>
      </w:r>
    </w:p>
    <w:p w14:paraId="39221DCD" w14:textId="77777777" w:rsidR="00A81634" w:rsidRPr="00022310" w:rsidRDefault="00A81634" w:rsidP="00A81634">
      <w:pPr>
        <w:pStyle w:val="NoSpacing"/>
        <w:rPr>
          <w:rFonts w:ascii="Arial" w:hAnsi="Arial" w:cs="Arial"/>
        </w:rPr>
      </w:pPr>
    </w:p>
    <w:p w14:paraId="6CDE1F35" w14:textId="77777777" w:rsidR="00A81634" w:rsidRPr="0041409A" w:rsidRDefault="00A81634" w:rsidP="00A81634">
      <w:pPr>
        <w:pStyle w:val="NoSpacing"/>
        <w:rPr>
          <w:rFonts w:ascii="Arial" w:hAnsi="Arial" w:cs="Arial"/>
        </w:rPr>
      </w:pPr>
      <w:r w:rsidRPr="0041409A">
        <w:rPr>
          <w:rFonts w:ascii="Arial" w:hAnsi="Arial" w:cs="Arial"/>
        </w:rPr>
        <w:t xml:space="preserve">26.9% of households consist of one person, below both Kent (28.3%) and national (30.2%) averages. 65.2% of households consist of families and 33.5% are households with dependent children. 12.5% of households are families with non-dependent children living with them, the highest level in Kent and ahead of the national position (10.5%). 12.2% of households in the borough are lone parent families, again the highest figure in Kent and ahead of the national average (11.1%). </w:t>
      </w:r>
    </w:p>
    <w:p w14:paraId="20601703" w14:textId="77777777" w:rsidR="00A81634" w:rsidRPr="0041409A" w:rsidRDefault="00A81634" w:rsidP="00A81634">
      <w:pPr>
        <w:pStyle w:val="NoSpacing"/>
        <w:rPr>
          <w:rFonts w:ascii="Arial" w:hAnsi="Arial" w:cs="Arial"/>
        </w:rPr>
      </w:pPr>
    </w:p>
    <w:p w14:paraId="215F9127" w14:textId="77777777" w:rsidR="00A81634" w:rsidRPr="0041409A" w:rsidRDefault="00A81634" w:rsidP="00A81634">
      <w:pPr>
        <w:pStyle w:val="NoSpacing"/>
        <w:rPr>
          <w:rFonts w:ascii="Arial" w:hAnsi="Arial" w:cs="Arial"/>
        </w:rPr>
      </w:pPr>
      <w:r w:rsidRPr="0041409A">
        <w:rPr>
          <w:rFonts w:ascii="Arial" w:hAnsi="Arial" w:cs="Arial"/>
        </w:rPr>
        <w:t>Census 202</w:t>
      </w:r>
      <w:r>
        <w:rPr>
          <w:rFonts w:ascii="Arial" w:hAnsi="Arial" w:cs="Arial"/>
        </w:rPr>
        <w:t>1</w:t>
      </w:r>
      <w:r w:rsidRPr="0041409A">
        <w:rPr>
          <w:rFonts w:ascii="Arial" w:hAnsi="Arial" w:cs="Arial"/>
        </w:rPr>
        <w:t xml:space="preserve"> captured the legal partnership status of usual residents aged 16 and over. Within Gravesham, 39,560 people were married or in a civil partnership, representing a rate of 46.8%, down from 48.8% in 2011. Gravesham outturn is slightly below the Kent average of 46.9%, but ahead of the national position (44.7%). </w:t>
      </w:r>
    </w:p>
    <w:p w14:paraId="6A504E72" w14:textId="77777777" w:rsidR="00A81634" w:rsidRDefault="00A81634" w:rsidP="00A81634">
      <w:pPr>
        <w:pStyle w:val="NoSpacing"/>
        <w:rPr>
          <w:rFonts w:ascii="Arial" w:hAnsi="Arial" w:cs="Arial"/>
        </w:rPr>
      </w:pPr>
    </w:p>
    <w:p w14:paraId="25DE5DFB" w14:textId="77777777" w:rsidR="00A81634" w:rsidRPr="0041409A" w:rsidRDefault="00A81634" w:rsidP="00A81634">
      <w:pPr>
        <w:pStyle w:val="NoSpacing"/>
        <w:rPr>
          <w:sz w:val="20"/>
          <w:szCs w:val="20"/>
          <w:shd w:val="clear" w:color="auto" w:fill="FFFFFF"/>
        </w:rPr>
      </w:pPr>
      <w:r w:rsidRPr="0041409A">
        <w:rPr>
          <w:rFonts w:ascii="Arial" w:hAnsi="Arial" w:cs="Arial"/>
        </w:rPr>
        <w:t>Over 2,600 households within Gravesham have no occupants with English as their main language. This equates to 6.4% of all households, the highest proportion of all Kent districts and ahead of the national position (4.8%) and an advancement of 5% as at Census 2011</w:t>
      </w:r>
      <w:r w:rsidRPr="0041409A">
        <w:rPr>
          <w:rFonts w:ascii="Arial" w:hAnsi="Arial" w:cs="Arial"/>
          <w:sz w:val="20"/>
          <w:szCs w:val="20"/>
          <w:shd w:val="clear" w:color="auto" w:fill="FFFFFF"/>
        </w:rPr>
        <w:t xml:space="preserve"> </w:t>
      </w:r>
      <w:r w:rsidRPr="0041409A">
        <w:rPr>
          <w:rFonts w:ascii="Arial" w:hAnsi="Arial" w:cs="Arial"/>
        </w:rPr>
        <w:t>(</w:t>
      </w:r>
      <w:r w:rsidRPr="0041409A">
        <w:rPr>
          <w:rFonts w:ascii="Arial" w:hAnsi="Arial" w:cs="Arial"/>
          <w:b/>
          <w:bCs/>
        </w:rPr>
        <w:t>Table 5</w:t>
      </w:r>
      <w:r w:rsidRPr="0041409A">
        <w:rPr>
          <w:rFonts w:ascii="Arial" w:hAnsi="Arial" w:cs="Arial"/>
        </w:rPr>
        <w:t>).</w:t>
      </w:r>
    </w:p>
    <w:p w14:paraId="5EC8359B" w14:textId="77777777" w:rsidR="00A81634" w:rsidRPr="0041409A" w:rsidRDefault="00A81634" w:rsidP="00A81634">
      <w:pPr>
        <w:pStyle w:val="NoSpacing"/>
      </w:pPr>
    </w:p>
    <w:p w14:paraId="41BD69D4" w14:textId="77777777" w:rsidR="00A81634" w:rsidRPr="005F3351" w:rsidRDefault="00A81634" w:rsidP="00A81634">
      <w:pPr>
        <w:pStyle w:val="NoSpacing"/>
        <w:rPr>
          <w:rFonts w:ascii="Arial" w:hAnsi="Arial" w:cs="Arial"/>
          <w:color w:val="365F91" w:themeColor="accent1" w:themeShade="BF"/>
          <w:sz w:val="24"/>
          <w:szCs w:val="24"/>
        </w:rPr>
      </w:pPr>
      <w:r w:rsidRPr="005F3351">
        <w:rPr>
          <w:rFonts w:ascii="Arial" w:hAnsi="Arial" w:cs="Arial"/>
          <w:color w:val="365F91" w:themeColor="accent1" w:themeShade="BF"/>
          <w:sz w:val="24"/>
          <w:szCs w:val="24"/>
        </w:rPr>
        <w:t>Sex</w:t>
      </w:r>
    </w:p>
    <w:p w14:paraId="1A91C0C9" w14:textId="77777777" w:rsidR="00A81634" w:rsidRPr="00022310" w:rsidRDefault="00A81634" w:rsidP="00A81634">
      <w:pPr>
        <w:pStyle w:val="NoSpacing"/>
        <w:rPr>
          <w:rFonts w:ascii="Arial" w:hAnsi="Arial" w:cs="Arial"/>
        </w:rPr>
      </w:pPr>
    </w:p>
    <w:p w14:paraId="649D9F88" w14:textId="77777777" w:rsidR="00A81634" w:rsidRPr="005F3351" w:rsidRDefault="00A81634" w:rsidP="00A81634">
      <w:pPr>
        <w:pStyle w:val="NoSpacing"/>
        <w:rPr>
          <w:rFonts w:ascii="Arial" w:hAnsi="Arial" w:cs="Arial"/>
        </w:rPr>
      </w:pPr>
      <w:r w:rsidRPr="005F3351">
        <w:rPr>
          <w:rFonts w:ascii="Arial" w:hAnsi="Arial" w:cs="Arial"/>
        </w:rPr>
        <w:t xml:space="preserve">The proportion of males to females in the borough is recorded as (48.9% - 51.1%) in keeping with the Kent average of (48.7% - 51.3%). All age groups over 65 records more females than males, with the ‘90+’ age bracket seeing the highest proportionate share of females (65.5% - 600) than males (34.5% - 300). Conversely there are 800 more males than females in the 0-24 bracket.           </w:t>
      </w:r>
    </w:p>
    <w:p w14:paraId="0DFE0D4F" w14:textId="77777777" w:rsidR="00A81634" w:rsidRPr="005F3351" w:rsidRDefault="00A81634" w:rsidP="00A81634">
      <w:pPr>
        <w:pStyle w:val="NoSpacing"/>
        <w:rPr>
          <w:rFonts w:ascii="Arial" w:hAnsi="Arial" w:cs="Arial"/>
        </w:rPr>
      </w:pPr>
    </w:p>
    <w:p w14:paraId="66514E90" w14:textId="77777777" w:rsidR="00A81634" w:rsidRPr="005F3351" w:rsidRDefault="00A81634" w:rsidP="00A81634">
      <w:pPr>
        <w:pStyle w:val="NoSpacing"/>
        <w:rPr>
          <w:rFonts w:ascii="Arial" w:hAnsi="Arial" w:cs="Arial"/>
        </w:rPr>
      </w:pPr>
      <w:r w:rsidRPr="005F3351">
        <w:rPr>
          <w:rFonts w:ascii="Arial" w:hAnsi="Arial" w:cs="Arial"/>
        </w:rPr>
        <w:t>For monitoring and supporting anti-discrimination duties under the Equality Act 2010, the Census 2021 presented broader personal categories for residents in the borough. The results of the Census conclude that 0.7% of residents do not have the same gender identity as sex registered at birth, the highest figure in Kent, and slightly ahead of the national position of 0.6%. Conversely, in terms of sexual orientation, the results identify that 2.5% of Gravesham residents are non-heterosexual, below the Kent (2.9%) and national (3.4%) positions (</w:t>
      </w:r>
      <w:r w:rsidRPr="005F3351">
        <w:rPr>
          <w:rFonts w:ascii="Arial" w:hAnsi="Arial" w:cs="Arial"/>
          <w:b/>
          <w:bCs/>
        </w:rPr>
        <w:t>Tables 6 &amp; 7</w:t>
      </w:r>
      <w:r w:rsidRPr="005F3351">
        <w:rPr>
          <w:rFonts w:ascii="Arial" w:hAnsi="Arial" w:cs="Arial"/>
        </w:rPr>
        <w:t>).</w:t>
      </w:r>
    </w:p>
    <w:p w14:paraId="583FD35C" w14:textId="148B74F7" w:rsidR="00A81634" w:rsidRDefault="00A81634" w:rsidP="00A81634">
      <w:pPr>
        <w:rPr>
          <w:rFonts w:ascii="Arial" w:hAnsi="Arial" w:cs="Arial"/>
          <w:b/>
          <w:u w:val="single"/>
        </w:rPr>
      </w:pPr>
    </w:p>
    <w:p w14:paraId="4512E71F" w14:textId="01395D5E" w:rsidR="00A81634" w:rsidRDefault="00A81634" w:rsidP="00A81634">
      <w:pPr>
        <w:rPr>
          <w:rFonts w:ascii="Arial" w:hAnsi="Arial" w:cs="Arial"/>
          <w:b/>
          <w:u w:val="single"/>
        </w:rPr>
      </w:pPr>
    </w:p>
    <w:p w14:paraId="10BF8F1B" w14:textId="77777777" w:rsidR="00A81634" w:rsidRPr="0041409A" w:rsidRDefault="00A81634" w:rsidP="00A81634">
      <w:pPr>
        <w:rPr>
          <w:rFonts w:ascii="Arial" w:hAnsi="Arial" w:cs="Arial"/>
          <w:b/>
          <w:u w:val="single"/>
        </w:rPr>
      </w:pPr>
    </w:p>
    <w:p w14:paraId="239C6397" w14:textId="77777777" w:rsidR="00A81634" w:rsidRDefault="00A81634" w:rsidP="00A81634">
      <w:pPr>
        <w:pStyle w:val="NoSpacing"/>
        <w:rPr>
          <w:rFonts w:ascii="Arial" w:hAnsi="Arial" w:cs="Arial"/>
          <w:color w:val="365F91" w:themeColor="accent1" w:themeShade="BF"/>
          <w:sz w:val="24"/>
          <w:szCs w:val="24"/>
        </w:rPr>
      </w:pPr>
      <w:r w:rsidRPr="00022310">
        <w:rPr>
          <w:rFonts w:ascii="Arial" w:hAnsi="Arial" w:cs="Arial"/>
          <w:color w:val="365F91" w:themeColor="accent1" w:themeShade="BF"/>
          <w:sz w:val="24"/>
          <w:szCs w:val="24"/>
        </w:rPr>
        <w:lastRenderedPageBreak/>
        <w:t>Ethnicity</w:t>
      </w:r>
    </w:p>
    <w:p w14:paraId="41A5524D" w14:textId="77777777" w:rsidR="00A81634" w:rsidRPr="00022310" w:rsidRDefault="00A81634" w:rsidP="00A81634">
      <w:pPr>
        <w:pStyle w:val="NoSpacing"/>
        <w:rPr>
          <w:rFonts w:ascii="Arial" w:hAnsi="Arial" w:cs="Arial"/>
        </w:rPr>
      </w:pPr>
    </w:p>
    <w:p w14:paraId="7E532185" w14:textId="77777777" w:rsidR="00A81634" w:rsidRDefault="00A81634" w:rsidP="00A81634">
      <w:pPr>
        <w:pStyle w:val="NoSpacing"/>
        <w:rPr>
          <w:rFonts w:ascii="Arial" w:hAnsi="Arial" w:cs="Arial"/>
          <w:bCs/>
        </w:rPr>
      </w:pPr>
      <w:r w:rsidRPr="00022310">
        <w:rPr>
          <w:rFonts w:ascii="Arial" w:hAnsi="Arial" w:cs="Arial"/>
          <w:bCs/>
        </w:rPr>
        <w:t>Census 2021 identifies that Gravesham presents 33,872 (31.7%) residents as being from a minority (non-White British) ethnic group, ahead of the Kent (16.8%) and national (25.6%) figures. The Census recorded the largest individual minority group as Indian at 7.6% of all residents – the highest proportionate figure in Kent. In terms of change, the fastest growing individual minority group from the 2011 Census is record as Black (</w:t>
      </w:r>
      <w:r>
        <w:rPr>
          <w:rFonts w:ascii="Arial" w:hAnsi="Arial" w:cs="Arial"/>
          <w:bCs/>
        </w:rPr>
        <w:t xml:space="preserve">British, </w:t>
      </w:r>
      <w:proofErr w:type="gramStart"/>
      <w:r w:rsidRPr="00022310">
        <w:rPr>
          <w:rFonts w:ascii="Arial" w:hAnsi="Arial" w:cs="Arial"/>
          <w:bCs/>
        </w:rPr>
        <w:t>Caribbean</w:t>
      </w:r>
      <w:proofErr w:type="gramEnd"/>
      <w:r w:rsidRPr="00022310">
        <w:rPr>
          <w:rFonts w:ascii="Arial" w:hAnsi="Arial" w:cs="Arial"/>
          <w:bCs/>
        </w:rPr>
        <w:t xml:space="preserve"> or African), moving from a share of 2.8% to 6.5% (</w:t>
      </w:r>
      <w:r w:rsidRPr="00022310">
        <w:rPr>
          <w:rFonts w:ascii="Arial" w:hAnsi="Arial" w:cs="Arial"/>
          <w:b/>
        </w:rPr>
        <w:t>Table 8</w:t>
      </w:r>
      <w:r w:rsidRPr="00022310">
        <w:rPr>
          <w:rFonts w:ascii="Arial" w:hAnsi="Arial" w:cs="Arial"/>
          <w:bCs/>
        </w:rPr>
        <w:t>).</w:t>
      </w:r>
    </w:p>
    <w:p w14:paraId="5639EB71" w14:textId="77777777" w:rsidR="00A81634" w:rsidRPr="00022310" w:rsidRDefault="00A81634" w:rsidP="00A81634">
      <w:pPr>
        <w:pStyle w:val="NoSpacing"/>
        <w:rPr>
          <w:rFonts w:ascii="Arial" w:hAnsi="Arial" w:cs="Arial"/>
          <w:bCs/>
        </w:rPr>
      </w:pPr>
    </w:p>
    <w:p w14:paraId="070A3F45" w14:textId="77777777" w:rsidR="00A81634" w:rsidRDefault="00A81634" w:rsidP="00A81634">
      <w:pPr>
        <w:pStyle w:val="NoSpacing"/>
        <w:rPr>
          <w:rFonts w:ascii="Arial" w:hAnsi="Arial" w:cs="Arial"/>
        </w:rPr>
      </w:pPr>
      <w:r w:rsidRPr="00022310">
        <w:rPr>
          <w:rFonts w:ascii="Arial" w:hAnsi="Arial" w:cs="Arial"/>
          <w:bCs/>
        </w:rPr>
        <w:t>Gravesham’s changing demographic is influenced by two clear factors; internal (UK) and external (overseas) migration. Internally, in recent years Gravesham has overseen an influx of residents, primarily those previously located in London. ONS data for 2016-2020 indicates all but one of the top ten local authorities for inflows of residents to the borough over the period were via London. At the same time, internal migration has seen a net outflow of Gravesham residents, largely to Medway and other parts of Kent. In 2021, 148 more UK nationals left Gravesham than moved into the borough.</w:t>
      </w:r>
      <w:r w:rsidRPr="00022310">
        <w:rPr>
          <w:rFonts w:ascii="Arial" w:hAnsi="Arial" w:cs="Arial"/>
        </w:rPr>
        <w:t xml:space="preserve"> </w:t>
      </w:r>
    </w:p>
    <w:p w14:paraId="2F29FF27" w14:textId="77777777" w:rsidR="00A81634" w:rsidRPr="00022310" w:rsidRDefault="00A81634" w:rsidP="00A81634">
      <w:pPr>
        <w:pStyle w:val="NoSpacing"/>
        <w:rPr>
          <w:rFonts w:ascii="Arial" w:hAnsi="Arial" w:cs="Arial"/>
          <w:bCs/>
        </w:rPr>
      </w:pPr>
    </w:p>
    <w:p w14:paraId="792E40C6" w14:textId="77777777" w:rsidR="00A81634" w:rsidRDefault="00A81634" w:rsidP="00A81634">
      <w:pPr>
        <w:pStyle w:val="NoSpacing"/>
        <w:rPr>
          <w:rFonts w:ascii="Arial" w:hAnsi="Arial" w:cs="Arial"/>
        </w:rPr>
      </w:pPr>
      <w:r w:rsidRPr="00022310">
        <w:rPr>
          <w:rFonts w:ascii="Arial" w:hAnsi="Arial" w:cs="Arial"/>
        </w:rPr>
        <w:t xml:space="preserve">In terms of external migration to Gravesham, one </w:t>
      </w:r>
      <w:r>
        <w:rPr>
          <w:rFonts w:ascii="Arial" w:hAnsi="Arial" w:cs="Arial"/>
        </w:rPr>
        <w:t xml:space="preserve">measure available </w:t>
      </w:r>
      <w:r w:rsidRPr="00022310">
        <w:rPr>
          <w:rFonts w:ascii="Arial" w:hAnsi="Arial" w:cs="Arial"/>
        </w:rPr>
        <w:t>is that for overseas nationals allocated a National Insurance Number (</w:t>
      </w:r>
      <w:proofErr w:type="spellStart"/>
      <w:r w:rsidRPr="00022310">
        <w:rPr>
          <w:rFonts w:ascii="Arial" w:hAnsi="Arial" w:cs="Arial"/>
        </w:rPr>
        <w:t>NINo</w:t>
      </w:r>
      <w:proofErr w:type="spellEnd"/>
      <w:r w:rsidRPr="00022310">
        <w:rPr>
          <w:rFonts w:ascii="Arial" w:hAnsi="Arial" w:cs="Arial"/>
        </w:rPr>
        <w:t xml:space="preserve">) to work or claim benefits in the UK.  Data in 2022 reveals that 1,602 NINos were allocated in Gravesham, with India (499), Nigeria (301), and Belize (146) the top-3 countries of origin. 65.5% of </w:t>
      </w:r>
      <w:proofErr w:type="spellStart"/>
      <w:r w:rsidRPr="00022310">
        <w:rPr>
          <w:rFonts w:ascii="Arial" w:hAnsi="Arial" w:cs="Arial"/>
        </w:rPr>
        <w:t>NINo</w:t>
      </w:r>
      <w:proofErr w:type="spellEnd"/>
      <w:r w:rsidRPr="00022310">
        <w:rPr>
          <w:rFonts w:ascii="Arial" w:hAnsi="Arial" w:cs="Arial"/>
        </w:rPr>
        <w:t xml:space="preserve"> applicants in 2022 were under the age of 35, ahead of the Kent position (61.3%).</w:t>
      </w:r>
    </w:p>
    <w:p w14:paraId="7E77E250" w14:textId="77777777" w:rsidR="00A81634" w:rsidRPr="00022310" w:rsidRDefault="00A81634" w:rsidP="00A81634">
      <w:pPr>
        <w:pStyle w:val="NoSpacing"/>
        <w:rPr>
          <w:rFonts w:ascii="Arial" w:hAnsi="Arial" w:cs="Arial"/>
        </w:rPr>
      </w:pPr>
    </w:p>
    <w:p w14:paraId="583216F7" w14:textId="77777777" w:rsidR="00A81634" w:rsidRDefault="00A81634" w:rsidP="00A81634">
      <w:pPr>
        <w:pStyle w:val="NoSpacing"/>
        <w:rPr>
          <w:rFonts w:ascii="Arial" w:hAnsi="Arial" w:cs="Arial"/>
          <w:bCs/>
        </w:rPr>
      </w:pPr>
      <w:r>
        <w:rPr>
          <w:rFonts w:ascii="Arial" w:hAnsi="Arial" w:cs="Arial"/>
        </w:rPr>
        <w:t>D</w:t>
      </w:r>
      <w:r w:rsidRPr="00022310">
        <w:rPr>
          <w:rFonts w:ascii="Arial" w:hAnsi="Arial" w:cs="Arial"/>
        </w:rPr>
        <w:t xml:space="preserve">ata for 2022 represents a significant change on equivalent 2019 figures – the last period before the impact of movement restrictions (Covid-19), and the UK’s withdrawal from the European Union took effect. Following the adoption of the government’s new immigration policy, in 2022 there was an additional 445 </w:t>
      </w:r>
      <w:proofErr w:type="spellStart"/>
      <w:r w:rsidRPr="00022310">
        <w:rPr>
          <w:rFonts w:ascii="Arial" w:hAnsi="Arial" w:cs="Arial"/>
        </w:rPr>
        <w:t>NINo</w:t>
      </w:r>
      <w:proofErr w:type="spellEnd"/>
      <w:r w:rsidRPr="00022310">
        <w:rPr>
          <w:rFonts w:ascii="Arial" w:hAnsi="Arial" w:cs="Arial"/>
        </w:rPr>
        <w:t xml:space="preserve"> allocations (38.5%) on the 2019 position, with 40.4% of allocations to applicants from Asia. Conversely, in 2022 there were 240 NINos allocated to applicants from the EU, a reduction of 658 (73.3%) on the equivalent 2019 figure </w:t>
      </w:r>
      <w:r w:rsidRPr="00022310">
        <w:rPr>
          <w:rFonts w:ascii="Arial" w:hAnsi="Arial" w:cs="Arial"/>
          <w:bCs/>
        </w:rPr>
        <w:t>(</w:t>
      </w:r>
      <w:r w:rsidRPr="00022310">
        <w:rPr>
          <w:rFonts w:ascii="Arial" w:hAnsi="Arial" w:cs="Arial"/>
          <w:b/>
        </w:rPr>
        <w:t>Table 9</w:t>
      </w:r>
      <w:r w:rsidRPr="00022310">
        <w:rPr>
          <w:rFonts w:ascii="Arial" w:hAnsi="Arial" w:cs="Arial"/>
          <w:bCs/>
        </w:rPr>
        <w:t>).</w:t>
      </w:r>
    </w:p>
    <w:p w14:paraId="14A7DDF8" w14:textId="77777777" w:rsidR="00A81634" w:rsidRPr="00022310" w:rsidRDefault="00A81634" w:rsidP="00A81634">
      <w:pPr>
        <w:pStyle w:val="NoSpacing"/>
        <w:rPr>
          <w:rFonts w:ascii="Arial" w:hAnsi="Arial" w:cs="Arial"/>
        </w:rPr>
      </w:pPr>
    </w:p>
    <w:p w14:paraId="06FB3D94" w14:textId="77777777" w:rsidR="00A81634" w:rsidRDefault="00A81634" w:rsidP="00A81634">
      <w:pPr>
        <w:pStyle w:val="NoSpacing"/>
        <w:rPr>
          <w:rFonts w:ascii="Arial" w:hAnsi="Arial" w:cs="Arial"/>
          <w:color w:val="365F91" w:themeColor="accent1" w:themeShade="BF"/>
          <w:sz w:val="24"/>
          <w:szCs w:val="24"/>
        </w:rPr>
      </w:pPr>
      <w:r w:rsidRPr="00022310">
        <w:rPr>
          <w:rFonts w:ascii="Arial" w:hAnsi="Arial" w:cs="Arial"/>
          <w:color w:val="365F91" w:themeColor="accent1" w:themeShade="BF"/>
          <w:sz w:val="24"/>
          <w:szCs w:val="24"/>
        </w:rPr>
        <w:t xml:space="preserve">Religion </w:t>
      </w:r>
    </w:p>
    <w:p w14:paraId="6F75F901" w14:textId="77777777" w:rsidR="00A81634" w:rsidRPr="00022310" w:rsidRDefault="00A81634" w:rsidP="00A81634">
      <w:pPr>
        <w:pStyle w:val="NoSpacing"/>
        <w:rPr>
          <w:rFonts w:ascii="Arial" w:hAnsi="Arial" w:cs="Arial"/>
          <w:color w:val="365F91" w:themeColor="accent1" w:themeShade="BF"/>
          <w:sz w:val="24"/>
          <w:szCs w:val="24"/>
        </w:rPr>
      </w:pPr>
    </w:p>
    <w:p w14:paraId="1BDE9BF1" w14:textId="77777777" w:rsidR="00A81634" w:rsidRPr="00022310" w:rsidRDefault="00A81634" w:rsidP="00A81634">
      <w:pPr>
        <w:pStyle w:val="NoSpacing"/>
        <w:rPr>
          <w:rFonts w:ascii="Arial" w:hAnsi="Arial" w:cs="Arial"/>
        </w:rPr>
      </w:pPr>
      <w:r w:rsidRPr="00022310">
        <w:rPr>
          <w:rFonts w:ascii="Arial" w:hAnsi="Arial" w:cs="Arial"/>
        </w:rPr>
        <w:t xml:space="preserve">Census 2021 </w:t>
      </w:r>
      <w:r>
        <w:rPr>
          <w:rFonts w:ascii="Arial" w:hAnsi="Arial" w:cs="Arial"/>
        </w:rPr>
        <w:t xml:space="preserve">identified </w:t>
      </w:r>
      <w:r w:rsidRPr="00022310">
        <w:rPr>
          <w:rFonts w:ascii="Arial" w:hAnsi="Arial" w:cs="Arial"/>
        </w:rPr>
        <w:t xml:space="preserve">that, for the first time, there is no single majority religion within Gravesham. The Christian faith is still the largest declared religion in the borough with 52,565 residents (49.2%) – a reduction of 15.1% on the 2011 Census finding, with those declared as ‘no religion’ being the second largest group (32.1%), both reflective of Kent and national trends. </w:t>
      </w:r>
    </w:p>
    <w:p w14:paraId="46113AB3" w14:textId="77777777" w:rsidR="00A81634" w:rsidRPr="00022310" w:rsidRDefault="00A81634" w:rsidP="00A81634">
      <w:pPr>
        <w:pStyle w:val="NoSpacing"/>
        <w:rPr>
          <w:rFonts w:ascii="Arial" w:hAnsi="Arial" w:cs="Arial"/>
        </w:rPr>
      </w:pPr>
    </w:p>
    <w:p w14:paraId="1E05D02D" w14:textId="77777777" w:rsidR="00A81634" w:rsidRPr="00022310" w:rsidRDefault="00A81634" w:rsidP="00A81634">
      <w:pPr>
        <w:pStyle w:val="NoSpacing"/>
        <w:rPr>
          <w:rFonts w:ascii="Arial" w:hAnsi="Arial" w:cs="Arial"/>
        </w:rPr>
      </w:pPr>
      <w:r w:rsidRPr="00022310">
        <w:rPr>
          <w:rFonts w:ascii="Arial" w:hAnsi="Arial" w:cs="Arial"/>
        </w:rPr>
        <w:t>Across Kent, Gravesham has the highest proportion of Sikh residents with 8,560 or 8.0% of residents, and the second largest proportion of Muslim residents with 3,326 or 3.1% of the  population (</w:t>
      </w:r>
      <w:r w:rsidRPr="00022310">
        <w:rPr>
          <w:rFonts w:ascii="Arial" w:hAnsi="Arial" w:cs="Arial"/>
          <w:b/>
          <w:bCs/>
        </w:rPr>
        <w:t>Table 10</w:t>
      </w:r>
      <w:r w:rsidRPr="00022310">
        <w:rPr>
          <w:rFonts w:ascii="Arial" w:hAnsi="Arial" w:cs="Arial"/>
        </w:rPr>
        <w:t>).</w:t>
      </w:r>
    </w:p>
    <w:p w14:paraId="60101E72" w14:textId="77777777" w:rsidR="00A81634" w:rsidRDefault="00A81634" w:rsidP="00A81634">
      <w:pPr>
        <w:pStyle w:val="NoSpacing"/>
        <w:rPr>
          <w:rFonts w:ascii="Arial" w:hAnsi="Arial" w:cs="Arial"/>
        </w:rPr>
      </w:pPr>
    </w:p>
    <w:p w14:paraId="656CDBEB" w14:textId="77777777" w:rsidR="00A81634" w:rsidRPr="00B4519B" w:rsidRDefault="00A81634" w:rsidP="00A81634">
      <w:pPr>
        <w:pStyle w:val="NoSpacing"/>
        <w:rPr>
          <w:rFonts w:ascii="Arial" w:hAnsi="Arial" w:cs="Arial"/>
          <w:color w:val="365F91" w:themeColor="accent1" w:themeShade="BF"/>
          <w:sz w:val="24"/>
          <w:szCs w:val="24"/>
        </w:rPr>
      </w:pPr>
      <w:r w:rsidRPr="00B4519B">
        <w:rPr>
          <w:rFonts w:ascii="Arial" w:hAnsi="Arial" w:cs="Arial"/>
          <w:color w:val="365F91" w:themeColor="accent1" w:themeShade="BF"/>
          <w:sz w:val="24"/>
          <w:szCs w:val="24"/>
        </w:rPr>
        <w:t>Disability</w:t>
      </w:r>
    </w:p>
    <w:p w14:paraId="1C3DC4C7" w14:textId="77777777" w:rsidR="00A81634" w:rsidRPr="0041409A" w:rsidRDefault="00A81634" w:rsidP="00A81634">
      <w:pPr>
        <w:pStyle w:val="NoSpacing"/>
        <w:rPr>
          <w:rFonts w:ascii="Arial" w:hAnsi="Arial" w:cs="Arial"/>
          <w:b/>
          <w:u w:val="single"/>
        </w:rPr>
      </w:pPr>
    </w:p>
    <w:p w14:paraId="08B2CA2F" w14:textId="77777777" w:rsidR="00A81634" w:rsidRPr="00B4519B" w:rsidRDefault="00A81634" w:rsidP="00A81634">
      <w:pPr>
        <w:pStyle w:val="NoSpacing"/>
        <w:rPr>
          <w:rFonts w:ascii="Arial" w:hAnsi="Arial" w:cs="Arial"/>
        </w:rPr>
      </w:pPr>
      <w:r w:rsidRPr="00B4519B">
        <w:rPr>
          <w:rFonts w:ascii="Arial" w:hAnsi="Arial" w:cs="Arial"/>
        </w:rPr>
        <w:t xml:space="preserve">Census 2021 </w:t>
      </w:r>
      <w:r>
        <w:rPr>
          <w:rFonts w:ascii="Arial" w:hAnsi="Arial" w:cs="Arial"/>
        </w:rPr>
        <w:t xml:space="preserve">details that </w:t>
      </w:r>
      <w:r w:rsidRPr="00B4519B">
        <w:rPr>
          <w:rFonts w:ascii="Arial" w:hAnsi="Arial" w:cs="Arial"/>
        </w:rPr>
        <w:t>people who assessed their day-to-day activities as limited by long-term physical or mental health conditions or illnesses and are considered disabled. The results of the Census demonstrate that 17,509 (16.4%) in Gravesham are disabled, as defined by the Equality Act 2010, below both Kent (17.9%) and national (17.5%) rates (</w:t>
      </w:r>
      <w:r w:rsidRPr="00B4519B">
        <w:rPr>
          <w:rFonts w:ascii="Arial" w:hAnsi="Arial" w:cs="Arial"/>
          <w:b/>
        </w:rPr>
        <w:t>Table 11</w:t>
      </w:r>
      <w:r w:rsidRPr="00B4519B">
        <w:rPr>
          <w:rFonts w:ascii="Arial" w:hAnsi="Arial" w:cs="Arial"/>
        </w:rPr>
        <w:t>).</w:t>
      </w:r>
    </w:p>
    <w:p w14:paraId="65AD1AFD" w14:textId="77777777" w:rsidR="00F27970" w:rsidRDefault="00F27970" w:rsidP="00F27970">
      <w:pPr>
        <w:autoSpaceDE w:val="0"/>
        <w:autoSpaceDN w:val="0"/>
        <w:adjustRightInd w:val="0"/>
        <w:spacing w:after="0" w:line="240" w:lineRule="auto"/>
        <w:rPr>
          <w:rFonts w:ascii="Arial" w:hAnsi="Arial" w:cs="Arial"/>
          <w:color w:val="000000"/>
        </w:rPr>
      </w:pPr>
    </w:p>
    <w:p w14:paraId="118D200A" w14:textId="77777777" w:rsidR="00F27970" w:rsidRDefault="00F27970" w:rsidP="00F27970">
      <w:pPr>
        <w:autoSpaceDE w:val="0"/>
        <w:autoSpaceDN w:val="0"/>
        <w:adjustRightInd w:val="0"/>
        <w:spacing w:after="0" w:line="240" w:lineRule="auto"/>
        <w:rPr>
          <w:rFonts w:ascii="Arial" w:hAnsi="Arial" w:cs="Arial"/>
          <w:color w:val="000000"/>
        </w:rPr>
      </w:pPr>
    </w:p>
    <w:p w14:paraId="692BD818" w14:textId="3CF1566B" w:rsidR="00F27970" w:rsidRPr="00F27970" w:rsidRDefault="00F27970" w:rsidP="00F27970">
      <w:pPr>
        <w:autoSpaceDE w:val="0"/>
        <w:autoSpaceDN w:val="0"/>
        <w:adjustRightInd w:val="0"/>
        <w:spacing w:after="0" w:line="240" w:lineRule="auto"/>
        <w:rPr>
          <w:rFonts w:ascii="Arial" w:hAnsi="Arial" w:cs="Arial"/>
          <w:color w:val="000000"/>
        </w:rPr>
        <w:sectPr w:rsidR="00F27970" w:rsidRPr="00F27970" w:rsidSect="00F27970">
          <w:headerReference w:type="first" r:id="rId8"/>
          <w:pgSz w:w="16838" w:h="11906" w:orient="landscape"/>
          <w:pgMar w:top="993" w:right="1440" w:bottom="284" w:left="1440" w:header="708" w:footer="708" w:gutter="0"/>
          <w:cols w:space="708"/>
          <w:titlePg/>
          <w:docGrid w:linePitch="360"/>
        </w:sectPr>
      </w:pPr>
    </w:p>
    <w:p w14:paraId="0E8D4548" w14:textId="753D71E1" w:rsidR="006255AD" w:rsidRDefault="006255AD" w:rsidP="006255AD">
      <w:pPr>
        <w:autoSpaceDE w:val="0"/>
        <w:autoSpaceDN w:val="0"/>
        <w:adjustRightInd w:val="0"/>
        <w:spacing w:after="0" w:line="240" w:lineRule="auto"/>
        <w:rPr>
          <w:rFonts w:ascii="Arial" w:hAnsi="Arial" w:cs="Arial"/>
        </w:rPr>
      </w:pPr>
    </w:p>
    <w:p w14:paraId="5146ACBD" w14:textId="1F5DACFF" w:rsidR="00F27970" w:rsidRDefault="00F27970" w:rsidP="006255AD">
      <w:pPr>
        <w:autoSpaceDE w:val="0"/>
        <w:autoSpaceDN w:val="0"/>
        <w:adjustRightInd w:val="0"/>
        <w:spacing w:after="0" w:line="240" w:lineRule="auto"/>
        <w:rPr>
          <w:rFonts w:ascii="Arial" w:hAnsi="Arial" w:cs="Arial"/>
        </w:rPr>
      </w:pPr>
    </w:p>
    <w:p w14:paraId="67C28069" w14:textId="2BC52AD1" w:rsidR="00F27970" w:rsidRDefault="00F27970" w:rsidP="006255AD">
      <w:pPr>
        <w:autoSpaceDE w:val="0"/>
        <w:autoSpaceDN w:val="0"/>
        <w:adjustRightInd w:val="0"/>
        <w:spacing w:after="0" w:line="240" w:lineRule="auto"/>
        <w:rPr>
          <w:rFonts w:ascii="Arial" w:hAnsi="Arial" w:cs="Arial"/>
        </w:rPr>
      </w:pPr>
    </w:p>
    <w:p w14:paraId="69BD26AB" w14:textId="77777777" w:rsidR="00A81634" w:rsidRPr="005B75B1" w:rsidRDefault="00A81634" w:rsidP="00A81634">
      <w:pPr>
        <w:pStyle w:val="NoSpacing"/>
        <w:rPr>
          <w:rFonts w:ascii="Arial" w:hAnsi="Arial" w:cs="Arial"/>
        </w:rPr>
      </w:pPr>
      <w:r>
        <w:rPr>
          <w:rFonts w:ascii="Arial" w:eastAsia="Arial" w:hAnsi="Arial" w:cs="Arial"/>
          <w:color w:val="365F91" w:themeColor="accent1" w:themeShade="BF"/>
          <w:sz w:val="26"/>
          <w:szCs w:val="26"/>
        </w:rPr>
        <w:lastRenderedPageBreak/>
        <w:t>5. P</w:t>
      </w:r>
      <w:r w:rsidRPr="005B75B1">
        <w:rPr>
          <w:rFonts w:ascii="Arial" w:eastAsia="Arial" w:hAnsi="Arial" w:cs="Arial"/>
          <w:color w:val="365F91" w:themeColor="accent1" w:themeShade="BF"/>
          <w:sz w:val="26"/>
          <w:szCs w:val="26"/>
        </w:rPr>
        <w:t>articipation</w:t>
      </w:r>
    </w:p>
    <w:p w14:paraId="18815C7E" w14:textId="77777777" w:rsidR="00A81634" w:rsidRPr="005B75B1" w:rsidRDefault="00A81634" w:rsidP="00A81634">
      <w:pPr>
        <w:pStyle w:val="NoSpacing"/>
        <w:rPr>
          <w:rFonts w:ascii="Arial" w:hAnsi="Arial" w:cs="Arial"/>
        </w:rPr>
      </w:pPr>
    </w:p>
    <w:p w14:paraId="35C6169B" w14:textId="77777777" w:rsidR="00A81634" w:rsidRDefault="00A81634" w:rsidP="00A81634">
      <w:pPr>
        <w:pStyle w:val="NoSpacing"/>
        <w:rPr>
          <w:rFonts w:ascii="Arial" w:hAnsi="Arial" w:cs="Arial"/>
        </w:rPr>
      </w:pPr>
      <w:r w:rsidRPr="005B75B1">
        <w:rPr>
          <w:rFonts w:ascii="Arial" w:hAnsi="Arial" w:cs="Arial"/>
        </w:rPr>
        <w:t xml:space="preserve">Gravesham has a strong sense of community cohesion with a long history of resident participation. </w:t>
      </w:r>
    </w:p>
    <w:p w14:paraId="0B5E0111" w14:textId="77777777" w:rsidR="00A81634" w:rsidRDefault="00A81634" w:rsidP="00A81634">
      <w:pPr>
        <w:pStyle w:val="NoSpacing"/>
        <w:rPr>
          <w:rFonts w:ascii="Arial" w:hAnsi="Arial" w:cs="Arial"/>
        </w:rPr>
      </w:pPr>
    </w:p>
    <w:p w14:paraId="305BAAF7" w14:textId="77777777" w:rsidR="00A81634" w:rsidRPr="00707578" w:rsidRDefault="00A81634" w:rsidP="00A81634">
      <w:pPr>
        <w:pStyle w:val="NoSpacing"/>
        <w:rPr>
          <w:rFonts w:ascii="Arial" w:hAnsi="Arial" w:cs="Arial"/>
        </w:rPr>
      </w:pPr>
      <w:r w:rsidRPr="005B75B1">
        <w:rPr>
          <w:rFonts w:ascii="Arial" w:hAnsi="Arial" w:cs="Arial"/>
        </w:rPr>
        <w:t>This chapter presents an overview of the levels of participation in both formal elections and local resident forums.</w:t>
      </w:r>
      <w:r>
        <w:rPr>
          <w:rFonts w:ascii="Arial" w:hAnsi="Arial" w:cs="Arial"/>
        </w:rPr>
        <w:t xml:space="preserve"> </w:t>
      </w:r>
      <w:r w:rsidRPr="005B75B1">
        <w:rPr>
          <w:rFonts w:ascii="Arial" w:hAnsi="Arial" w:cs="Arial"/>
        </w:rPr>
        <w:t xml:space="preserve">Political activity within Gravesham follows traditional patterns across both Kent and nationally with the highest electoral turnout at general elections, </w:t>
      </w:r>
      <w:r>
        <w:rPr>
          <w:rFonts w:ascii="Arial" w:hAnsi="Arial" w:cs="Arial"/>
        </w:rPr>
        <w:t>ordinarily</w:t>
      </w:r>
      <w:r w:rsidRPr="005B75B1">
        <w:rPr>
          <w:rFonts w:ascii="Arial" w:hAnsi="Arial" w:cs="Arial"/>
        </w:rPr>
        <w:t xml:space="preserve"> decreasing across local council and county council elections, respectively.</w:t>
      </w:r>
      <w:r w:rsidRPr="005B75B1">
        <w:rPr>
          <w:rFonts w:ascii="Arial" w:hAnsi="Arial" w:cs="Arial"/>
        </w:rPr>
        <w:br/>
      </w:r>
      <w:r>
        <w:rPr>
          <w:b/>
        </w:rPr>
        <w:br/>
      </w:r>
      <w:r w:rsidRPr="005B75B1">
        <w:rPr>
          <w:rFonts w:ascii="Arial" w:hAnsi="Arial" w:cs="Arial"/>
          <w:color w:val="365F91" w:themeColor="accent1" w:themeShade="BF"/>
          <w:sz w:val="24"/>
          <w:szCs w:val="24"/>
        </w:rPr>
        <w:t>General Elections</w:t>
      </w:r>
    </w:p>
    <w:p w14:paraId="47BA8BA3" w14:textId="77777777" w:rsidR="00A81634" w:rsidRPr="005B75B1" w:rsidRDefault="00A81634" w:rsidP="00A81634">
      <w:pPr>
        <w:pStyle w:val="NoSpacing"/>
        <w:rPr>
          <w:rFonts w:ascii="Arial" w:hAnsi="Arial" w:cs="Arial"/>
          <w:b/>
        </w:rPr>
      </w:pPr>
    </w:p>
    <w:p w14:paraId="5A8BD81C" w14:textId="77777777" w:rsidR="00A81634" w:rsidRPr="005B75B1" w:rsidRDefault="00A81634" w:rsidP="00A81634">
      <w:pPr>
        <w:pStyle w:val="NoSpacing"/>
        <w:rPr>
          <w:rFonts w:ascii="Arial" w:hAnsi="Arial" w:cs="Arial"/>
        </w:rPr>
      </w:pPr>
      <w:r w:rsidRPr="005B75B1">
        <w:rPr>
          <w:rFonts w:ascii="Arial" w:hAnsi="Arial" w:cs="Arial"/>
        </w:rPr>
        <w:t xml:space="preserve">The Gravesham parliamentary constituency has previously been called a ‘Bellwether’ constituency as, </w:t>
      </w:r>
      <w:r>
        <w:rPr>
          <w:rFonts w:ascii="Arial" w:hAnsi="Arial" w:cs="Arial"/>
        </w:rPr>
        <w:t>historically</w:t>
      </w:r>
      <w:r w:rsidRPr="005B75B1">
        <w:rPr>
          <w:rFonts w:ascii="Arial" w:hAnsi="Arial" w:cs="Arial"/>
        </w:rPr>
        <w:t xml:space="preserve">, in parliamentary elections Gravesham constituents have voted for an MP from the winning party. This was again the case in the general election held in December 2019. </w:t>
      </w:r>
    </w:p>
    <w:p w14:paraId="41EE9997" w14:textId="77777777" w:rsidR="00A81634" w:rsidRPr="005B75B1" w:rsidRDefault="00A81634" w:rsidP="00A81634">
      <w:pPr>
        <w:pStyle w:val="NoSpacing"/>
        <w:rPr>
          <w:rFonts w:ascii="Arial" w:hAnsi="Arial" w:cs="Arial"/>
        </w:rPr>
      </w:pPr>
    </w:p>
    <w:p w14:paraId="79871383" w14:textId="77777777" w:rsidR="00A81634" w:rsidRPr="005B75B1" w:rsidRDefault="00A81634" w:rsidP="00A81634">
      <w:pPr>
        <w:pStyle w:val="NoSpacing"/>
        <w:rPr>
          <w:rFonts w:ascii="Arial" w:hAnsi="Arial" w:cs="Arial"/>
        </w:rPr>
      </w:pPr>
      <w:r w:rsidRPr="005B75B1">
        <w:rPr>
          <w:rFonts w:ascii="Arial" w:hAnsi="Arial" w:cs="Arial"/>
        </w:rPr>
        <w:t>At the most recent general election for the Gravesham parliamentary seat, electoral turnout was 64.9%, slightly below the national average of 67.3%. In terms of results, the incumbent Conservative candidate Adam Holloway MP regained his parliamentary seat.</w:t>
      </w:r>
    </w:p>
    <w:p w14:paraId="4E048ABD" w14:textId="77777777" w:rsidR="00A81634" w:rsidRPr="005B75B1" w:rsidRDefault="00A81634" w:rsidP="00A81634">
      <w:pPr>
        <w:pStyle w:val="NoSpacing"/>
        <w:rPr>
          <w:rFonts w:ascii="Arial" w:hAnsi="Arial" w:cs="Arial"/>
          <w:color w:val="365F91" w:themeColor="accent1" w:themeShade="BF"/>
          <w:sz w:val="24"/>
          <w:szCs w:val="24"/>
        </w:rPr>
      </w:pPr>
      <w:r>
        <w:rPr>
          <w:rFonts w:ascii="Arial" w:hAnsi="Arial" w:cs="Arial"/>
          <w:color w:val="365F91" w:themeColor="accent1" w:themeShade="BF"/>
          <w:sz w:val="24"/>
          <w:szCs w:val="24"/>
        </w:rPr>
        <w:br/>
        <w:t>Borough</w:t>
      </w:r>
      <w:r w:rsidRPr="005B75B1">
        <w:rPr>
          <w:rFonts w:ascii="Arial" w:hAnsi="Arial" w:cs="Arial"/>
          <w:color w:val="365F91" w:themeColor="accent1" w:themeShade="BF"/>
          <w:sz w:val="24"/>
          <w:szCs w:val="24"/>
        </w:rPr>
        <w:t xml:space="preserve"> Elections</w:t>
      </w:r>
    </w:p>
    <w:p w14:paraId="1F4B6222" w14:textId="77777777" w:rsidR="00A81634" w:rsidRDefault="00A81634" w:rsidP="00A81634">
      <w:pPr>
        <w:pStyle w:val="NoSpacing"/>
        <w:rPr>
          <w:rFonts w:ascii="Arial" w:hAnsi="Arial" w:cs="Arial"/>
        </w:rPr>
      </w:pPr>
    </w:p>
    <w:p w14:paraId="2A00744A" w14:textId="77777777" w:rsidR="00A81634" w:rsidRPr="005B75B1" w:rsidRDefault="00A81634" w:rsidP="00A81634">
      <w:pPr>
        <w:pStyle w:val="NoSpacing"/>
        <w:rPr>
          <w:rFonts w:ascii="Arial" w:hAnsi="Arial" w:cs="Arial"/>
        </w:rPr>
      </w:pPr>
      <w:r w:rsidRPr="005B75B1">
        <w:rPr>
          <w:rFonts w:ascii="Arial" w:hAnsi="Arial" w:cs="Arial"/>
        </w:rPr>
        <w:t xml:space="preserve">Gravesham Borough Council has 39 elected Members representing 17 electoral wards. </w:t>
      </w:r>
    </w:p>
    <w:p w14:paraId="6E7A0EBA" w14:textId="77777777" w:rsidR="00A81634" w:rsidRDefault="00A81634" w:rsidP="00A81634">
      <w:pPr>
        <w:pStyle w:val="NoSpacing"/>
        <w:rPr>
          <w:rFonts w:ascii="Arial" w:hAnsi="Arial" w:cs="Arial"/>
        </w:rPr>
      </w:pPr>
    </w:p>
    <w:p w14:paraId="5B93D939" w14:textId="77777777" w:rsidR="00A81634" w:rsidRPr="005B75B1" w:rsidRDefault="00A81634" w:rsidP="00A81634">
      <w:pPr>
        <w:pStyle w:val="NoSpacing"/>
        <w:rPr>
          <w:rFonts w:ascii="Arial" w:hAnsi="Arial" w:cs="Arial"/>
        </w:rPr>
      </w:pPr>
      <w:r w:rsidRPr="005B75B1">
        <w:rPr>
          <w:rFonts w:ascii="Arial" w:hAnsi="Arial" w:cs="Arial"/>
        </w:rPr>
        <w:t xml:space="preserve">Following the local council elections on 4 May 2023, the council is represented by two political groups, with the Labour group holding an overall majority and forming the controlling administration. </w:t>
      </w:r>
    </w:p>
    <w:p w14:paraId="52015006" w14:textId="77777777" w:rsidR="00A81634" w:rsidRDefault="00A81634" w:rsidP="00A81634">
      <w:pPr>
        <w:pStyle w:val="NoSpacing"/>
        <w:rPr>
          <w:rFonts w:ascii="Arial" w:hAnsi="Arial" w:cs="Arial"/>
        </w:rPr>
      </w:pPr>
    </w:p>
    <w:p w14:paraId="1767DABC" w14:textId="77777777" w:rsidR="00A81634" w:rsidRPr="005B75B1" w:rsidRDefault="00A81634" w:rsidP="00A81634">
      <w:pPr>
        <w:pStyle w:val="NoSpacing"/>
        <w:rPr>
          <w:rFonts w:ascii="Arial" w:hAnsi="Arial" w:cs="Arial"/>
        </w:rPr>
      </w:pPr>
      <w:r w:rsidRPr="005B75B1">
        <w:rPr>
          <w:rFonts w:ascii="Arial" w:hAnsi="Arial" w:cs="Arial"/>
        </w:rPr>
        <w:t xml:space="preserve">The council’s current elected representation is as follows: </w:t>
      </w:r>
    </w:p>
    <w:p w14:paraId="063F2F00" w14:textId="77777777" w:rsidR="00A81634" w:rsidRPr="005B75B1" w:rsidRDefault="00A81634" w:rsidP="00A81634">
      <w:pPr>
        <w:pStyle w:val="NoSpacing"/>
        <w:numPr>
          <w:ilvl w:val="0"/>
          <w:numId w:val="12"/>
        </w:numPr>
        <w:rPr>
          <w:rFonts w:ascii="Arial" w:hAnsi="Arial" w:cs="Arial"/>
        </w:rPr>
      </w:pPr>
      <w:r w:rsidRPr="005B75B1">
        <w:rPr>
          <w:rFonts w:ascii="Arial" w:hAnsi="Arial" w:cs="Arial"/>
        </w:rPr>
        <w:t xml:space="preserve">Labour: 22 </w:t>
      </w:r>
      <w:r>
        <w:rPr>
          <w:rFonts w:ascii="Arial" w:hAnsi="Arial" w:cs="Arial"/>
        </w:rPr>
        <w:t>M</w:t>
      </w:r>
      <w:r w:rsidRPr="005B75B1">
        <w:rPr>
          <w:rFonts w:ascii="Arial" w:hAnsi="Arial" w:cs="Arial"/>
        </w:rPr>
        <w:t xml:space="preserve">embers </w:t>
      </w:r>
    </w:p>
    <w:p w14:paraId="40FAB82A" w14:textId="77777777" w:rsidR="00A81634" w:rsidRDefault="00A81634" w:rsidP="00A81634">
      <w:pPr>
        <w:pStyle w:val="NoSpacing"/>
        <w:numPr>
          <w:ilvl w:val="0"/>
          <w:numId w:val="12"/>
        </w:numPr>
        <w:rPr>
          <w:rFonts w:ascii="Arial" w:hAnsi="Arial" w:cs="Arial"/>
        </w:rPr>
      </w:pPr>
      <w:r w:rsidRPr="005B75B1">
        <w:rPr>
          <w:rFonts w:ascii="Arial" w:hAnsi="Arial" w:cs="Arial"/>
        </w:rPr>
        <w:t xml:space="preserve">Conservative: 17 </w:t>
      </w:r>
      <w:r>
        <w:rPr>
          <w:rFonts w:ascii="Arial" w:hAnsi="Arial" w:cs="Arial"/>
        </w:rPr>
        <w:t>M</w:t>
      </w:r>
      <w:r w:rsidRPr="005B75B1">
        <w:rPr>
          <w:rFonts w:ascii="Arial" w:hAnsi="Arial" w:cs="Arial"/>
        </w:rPr>
        <w:t xml:space="preserve">embers. </w:t>
      </w:r>
    </w:p>
    <w:p w14:paraId="6D7800B1" w14:textId="77777777" w:rsidR="00A81634" w:rsidRPr="005B75B1" w:rsidRDefault="00A81634" w:rsidP="00A81634">
      <w:pPr>
        <w:pStyle w:val="NoSpacing"/>
        <w:ind w:left="720"/>
        <w:rPr>
          <w:rFonts w:ascii="Arial" w:hAnsi="Arial" w:cs="Arial"/>
        </w:rPr>
      </w:pPr>
    </w:p>
    <w:p w14:paraId="2FBF738C" w14:textId="77777777" w:rsidR="00A81634" w:rsidRPr="005B75B1" w:rsidRDefault="00A81634" w:rsidP="00A81634">
      <w:pPr>
        <w:pStyle w:val="NoSpacing"/>
        <w:rPr>
          <w:rFonts w:ascii="Arial" w:hAnsi="Arial" w:cs="Arial"/>
          <w:color w:val="365F91" w:themeColor="accent1" w:themeShade="BF"/>
          <w:sz w:val="24"/>
          <w:szCs w:val="24"/>
        </w:rPr>
      </w:pPr>
      <w:r w:rsidRPr="005B75B1">
        <w:rPr>
          <w:rFonts w:ascii="Arial" w:hAnsi="Arial" w:cs="Arial"/>
          <w:color w:val="365F91" w:themeColor="accent1" w:themeShade="BF"/>
          <w:sz w:val="24"/>
          <w:szCs w:val="24"/>
        </w:rPr>
        <w:t>County Elections</w:t>
      </w:r>
    </w:p>
    <w:p w14:paraId="5EC09567" w14:textId="77777777" w:rsidR="00A81634" w:rsidRPr="005B75B1" w:rsidRDefault="00A81634" w:rsidP="00A81634">
      <w:pPr>
        <w:pStyle w:val="NoSpacing"/>
        <w:rPr>
          <w:rFonts w:ascii="Arial" w:hAnsi="Arial" w:cs="Arial"/>
        </w:rPr>
      </w:pPr>
    </w:p>
    <w:p w14:paraId="1D307E91" w14:textId="77777777" w:rsidR="00A81634" w:rsidRDefault="00A81634" w:rsidP="00A81634">
      <w:pPr>
        <w:pStyle w:val="NoSpacing"/>
        <w:rPr>
          <w:rFonts w:ascii="Arial" w:hAnsi="Arial" w:cs="Arial"/>
        </w:rPr>
      </w:pPr>
      <w:r w:rsidRPr="005B75B1">
        <w:rPr>
          <w:rFonts w:ascii="Arial" w:hAnsi="Arial" w:cs="Arial"/>
        </w:rPr>
        <w:t xml:space="preserve">Elections to Kent County Council took place on 6 May 2021, with Gravesham contributing five councillors across the following divisions; Gravesham East (x2), Gravesham Rural (x1), and Northfleet and Gravesend West (x2). The 2021 elections saw the Conservative Party win four seats and the Labour Party win one (Northfleet and Gravesend West). </w:t>
      </w:r>
    </w:p>
    <w:p w14:paraId="68743499" w14:textId="77777777" w:rsidR="00A81634" w:rsidRDefault="00A81634" w:rsidP="00A81634">
      <w:pPr>
        <w:pStyle w:val="NoSpacing"/>
        <w:rPr>
          <w:rFonts w:ascii="Arial" w:hAnsi="Arial" w:cs="Arial"/>
        </w:rPr>
      </w:pPr>
    </w:p>
    <w:p w14:paraId="4D12CD10" w14:textId="77777777" w:rsidR="00A81634" w:rsidRDefault="00000000" w:rsidP="00A81634">
      <w:pPr>
        <w:pStyle w:val="NoSpacing"/>
      </w:pPr>
      <w:hyperlink r:id="rId9" w:history="1">
        <w:r w:rsidR="00A81634" w:rsidRPr="004049A7">
          <w:rPr>
            <w:rStyle w:val="Hyperlink"/>
            <w:rFonts w:ascii="Arial" w:hAnsi="Arial" w:cs="Arial"/>
          </w:rPr>
          <w:t>Read details of election results in Gravesham.</w:t>
        </w:r>
      </w:hyperlink>
      <w:r w:rsidR="00A81634">
        <w:t xml:space="preserve"> </w:t>
      </w:r>
      <w:r w:rsidR="00A81634">
        <w:br/>
      </w:r>
    </w:p>
    <w:p w14:paraId="2A7C46F1" w14:textId="625F3CCA" w:rsidR="00A81634" w:rsidRDefault="00A81634" w:rsidP="00A81634">
      <w:pPr>
        <w:pStyle w:val="NoSpacing"/>
        <w:rPr>
          <w:rFonts w:ascii="Arial" w:hAnsi="Arial" w:cs="Arial"/>
          <w:color w:val="365F91" w:themeColor="accent1" w:themeShade="BF"/>
          <w:sz w:val="24"/>
          <w:szCs w:val="24"/>
        </w:rPr>
      </w:pPr>
    </w:p>
    <w:p w14:paraId="7AABEF6A" w14:textId="77777777" w:rsidR="00D135B0" w:rsidRDefault="00D135B0" w:rsidP="00A81634">
      <w:pPr>
        <w:pStyle w:val="NoSpacing"/>
        <w:rPr>
          <w:rFonts w:ascii="Arial" w:hAnsi="Arial" w:cs="Arial"/>
          <w:color w:val="365F91" w:themeColor="accent1" w:themeShade="BF"/>
          <w:sz w:val="24"/>
          <w:szCs w:val="24"/>
        </w:rPr>
      </w:pPr>
    </w:p>
    <w:p w14:paraId="02CE7BCD" w14:textId="77777777" w:rsidR="00D135B0" w:rsidRDefault="00D135B0" w:rsidP="00A81634">
      <w:pPr>
        <w:pStyle w:val="NoSpacing"/>
        <w:rPr>
          <w:rFonts w:ascii="Arial" w:hAnsi="Arial" w:cs="Arial"/>
          <w:color w:val="365F91" w:themeColor="accent1" w:themeShade="BF"/>
          <w:sz w:val="24"/>
          <w:szCs w:val="24"/>
        </w:rPr>
      </w:pPr>
    </w:p>
    <w:p w14:paraId="6551C5D6" w14:textId="41CA23DC" w:rsidR="00A81634" w:rsidRPr="00D955CB" w:rsidRDefault="00A81634" w:rsidP="00A81634">
      <w:pPr>
        <w:pStyle w:val="NoSpacing"/>
        <w:rPr>
          <w:rFonts w:ascii="Arial" w:hAnsi="Arial" w:cs="Arial"/>
          <w:color w:val="365F91" w:themeColor="accent1" w:themeShade="BF"/>
          <w:sz w:val="24"/>
          <w:szCs w:val="24"/>
        </w:rPr>
      </w:pPr>
      <w:r w:rsidRPr="00D955CB">
        <w:rPr>
          <w:rFonts w:ascii="Arial" w:hAnsi="Arial" w:cs="Arial"/>
          <w:color w:val="365F91" w:themeColor="accent1" w:themeShade="BF"/>
          <w:sz w:val="24"/>
          <w:szCs w:val="24"/>
        </w:rPr>
        <w:lastRenderedPageBreak/>
        <w:t xml:space="preserve">Community Engagement </w:t>
      </w:r>
    </w:p>
    <w:p w14:paraId="0D1F9995" w14:textId="77777777" w:rsidR="00A81634" w:rsidRDefault="00A81634" w:rsidP="00A81634">
      <w:pPr>
        <w:pStyle w:val="NoSpacing"/>
        <w:rPr>
          <w:rFonts w:ascii="Arial" w:hAnsi="Arial" w:cs="Arial"/>
          <w:color w:val="76923C" w:themeColor="accent3" w:themeShade="BF"/>
        </w:rPr>
      </w:pPr>
    </w:p>
    <w:p w14:paraId="10539FC1" w14:textId="77777777" w:rsidR="00A81634" w:rsidRDefault="00A81634" w:rsidP="00A81634">
      <w:pPr>
        <w:pStyle w:val="NoSpacing"/>
        <w:rPr>
          <w:rFonts w:ascii="Arial" w:hAnsi="Arial" w:cs="Arial"/>
        </w:rPr>
      </w:pPr>
      <w:r w:rsidRPr="00D955CB">
        <w:rPr>
          <w:rFonts w:ascii="Arial" w:hAnsi="Arial" w:cs="Arial"/>
        </w:rPr>
        <w:t xml:space="preserve">Within Gravesham there is a healthy participation of residents in a variety of citizen panels, voluntary groups, and community events. Directed by </w:t>
      </w:r>
      <w:r>
        <w:rPr>
          <w:rFonts w:ascii="Arial" w:hAnsi="Arial" w:cs="Arial"/>
        </w:rPr>
        <w:t>an adopted</w:t>
      </w:r>
      <w:r w:rsidRPr="00D955CB">
        <w:rPr>
          <w:rFonts w:ascii="Arial" w:hAnsi="Arial" w:cs="Arial"/>
        </w:rPr>
        <w:t xml:space="preserve"> Community Engagement Strategy, our efforts enable us to help develop community organisations, provide a platform for residents to engage in civic life, and further develop a cohesive local community.</w:t>
      </w:r>
    </w:p>
    <w:p w14:paraId="7324728C" w14:textId="77777777" w:rsidR="00A81634" w:rsidRPr="00D955CB" w:rsidRDefault="00A81634" w:rsidP="00A81634">
      <w:pPr>
        <w:pStyle w:val="NoSpacing"/>
        <w:rPr>
          <w:rFonts w:ascii="Arial" w:hAnsi="Arial" w:cs="Arial"/>
        </w:rPr>
      </w:pPr>
      <w:r w:rsidRPr="00D955CB">
        <w:rPr>
          <w:rFonts w:ascii="Arial" w:hAnsi="Arial" w:cs="Arial"/>
        </w:rPr>
        <w:t xml:space="preserve">   </w:t>
      </w:r>
    </w:p>
    <w:p w14:paraId="584B50FB" w14:textId="77777777" w:rsidR="00A81634" w:rsidRPr="00D955CB" w:rsidRDefault="00A81634" w:rsidP="00A81634">
      <w:pPr>
        <w:pStyle w:val="NoSpacing"/>
        <w:rPr>
          <w:rFonts w:ascii="Arial" w:hAnsi="Arial" w:cs="Arial"/>
        </w:rPr>
      </w:pPr>
      <w:r w:rsidRPr="00D955CB">
        <w:rPr>
          <w:rFonts w:ascii="Arial" w:hAnsi="Arial" w:cs="Arial"/>
        </w:rPr>
        <w:t>This council’s diverse engagement programme includes:</w:t>
      </w:r>
    </w:p>
    <w:p w14:paraId="6E631499" w14:textId="77777777" w:rsidR="00A81634" w:rsidRDefault="00A81634" w:rsidP="00A81634">
      <w:pPr>
        <w:pStyle w:val="NoSpacing"/>
        <w:numPr>
          <w:ilvl w:val="0"/>
          <w:numId w:val="13"/>
        </w:numPr>
        <w:rPr>
          <w:rFonts w:ascii="Arial" w:hAnsi="Arial" w:cs="Arial"/>
        </w:rPr>
      </w:pPr>
      <w:r w:rsidRPr="00D955CB">
        <w:rPr>
          <w:rFonts w:ascii="Arial" w:hAnsi="Arial" w:cs="Arial"/>
        </w:rPr>
        <w:t>Gravesham Landlord Forum</w:t>
      </w:r>
      <w:r>
        <w:rPr>
          <w:rFonts w:ascii="Arial" w:hAnsi="Arial" w:cs="Arial"/>
        </w:rPr>
        <w:t>: wo</w:t>
      </w:r>
      <w:r w:rsidRPr="00D955CB">
        <w:rPr>
          <w:rFonts w:ascii="Arial" w:hAnsi="Arial" w:cs="Arial"/>
        </w:rPr>
        <w:t>rk</w:t>
      </w:r>
      <w:r>
        <w:rPr>
          <w:rFonts w:ascii="Arial" w:hAnsi="Arial" w:cs="Arial"/>
        </w:rPr>
        <w:t>ing</w:t>
      </w:r>
      <w:r w:rsidRPr="00D955CB">
        <w:rPr>
          <w:rFonts w:ascii="Arial" w:hAnsi="Arial" w:cs="Arial"/>
        </w:rPr>
        <w:t xml:space="preserve"> with the National Landlords Association</w:t>
      </w:r>
      <w:r>
        <w:rPr>
          <w:rFonts w:ascii="Arial" w:hAnsi="Arial" w:cs="Arial"/>
        </w:rPr>
        <w:t>, this forum</w:t>
      </w:r>
      <w:r w:rsidRPr="00D955CB">
        <w:rPr>
          <w:rFonts w:ascii="Arial" w:hAnsi="Arial" w:cs="Arial"/>
        </w:rPr>
        <w:t xml:space="preserve"> support</w:t>
      </w:r>
      <w:r>
        <w:rPr>
          <w:rFonts w:ascii="Arial" w:hAnsi="Arial" w:cs="Arial"/>
        </w:rPr>
        <w:t>s</w:t>
      </w:r>
      <w:r w:rsidRPr="00D955CB">
        <w:rPr>
          <w:rFonts w:ascii="Arial" w:hAnsi="Arial" w:cs="Arial"/>
        </w:rPr>
        <w:t xml:space="preserve"> and engage</w:t>
      </w:r>
      <w:r>
        <w:rPr>
          <w:rFonts w:ascii="Arial" w:hAnsi="Arial" w:cs="Arial"/>
        </w:rPr>
        <w:t xml:space="preserve">s </w:t>
      </w:r>
      <w:r w:rsidRPr="00D955CB">
        <w:rPr>
          <w:rFonts w:ascii="Arial" w:hAnsi="Arial" w:cs="Arial"/>
        </w:rPr>
        <w:t>private sector landlords in the borough. Relaunched in September 2021, our Private Sector Housing Landlord Forum showcases the latest news and views on key topics affecting the sector, with events attended by local landlords, agents, and guest speakers.</w:t>
      </w:r>
      <w:r>
        <w:rPr>
          <w:rFonts w:ascii="Arial" w:hAnsi="Arial" w:cs="Arial"/>
        </w:rPr>
        <w:t xml:space="preserve"> </w:t>
      </w:r>
    </w:p>
    <w:p w14:paraId="07D5764A" w14:textId="77777777" w:rsidR="00A81634" w:rsidRDefault="00A81634" w:rsidP="00A81634">
      <w:pPr>
        <w:pStyle w:val="NoSpacing"/>
        <w:ind w:left="720"/>
        <w:rPr>
          <w:rFonts w:ascii="Arial" w:hAnsi="Arial" w:cs="Arial"/>
        </w:rPr>
      </w:pPr>
    </w:p>
    <w:p w14:paraId="5C6E8B38" w14:textId="23279B19" w:rsidR="00A81634" w:rsidRDefault="00000000" w:rsidP="00A81634">
      <w:pPr>
        <w:pStyle w:val="NoSpacing"/>
        <w:ind w:left="720"/>
        <w:rPr>
          <w:rStyle w:val="Hyperlink"/>
          <w:rFonts w:ascii="Arial" w:hAnsi="Arial" w:cs="Arial"/>
        </w:rPr>
      </w:pPr>
      <w:hyperlink r:id="rId10" w:history="1">
        <w:r w:rsidR="00A81634" w:rsidRPr="00493145">
          <w:rPr>
            <w:rStyle w:val="Hyperlink"/>
            <w:rFonts w:ascii="Arial" w:hAnsi="Arial" w:cs="Arial"/>
          </w:rPr>
          <w:t>Read details of the Gravesham Landlord Forum.</w:t>
        </w:r>
      </w:hyperlink>
    </w:p>
    <w:p w14:paraId="4175D9FC" w14:textId="77777777" w:rsidR="00A81634" w:rsidRDefault="00A81634" w:rsidP="00A81634">
      <w:pPr>
        <w:pStyle w:val="NoSpacing"/>
        <w:ind w:left="720"/>
        <w:rPr>
          <w:rFonts w:ascii="Arial" w:hAnsi="Arial" w:cs="Arial"/>
        </w:rPr>
      </w:pPr>
    </w:p>
    <w:p w14:paraId="4D8BF182" w14:textId="77777777" w:rsidR="00A81634" w:rsidRPr="00A81634" w:rsidRDefault="00A81634" w:rsidP="00A81634">
      <w:pPr>
        <w:pStyle w:val="NoSpacing"/>
        <w:numPr>
          <w:ilvl w:val="0"/>
          <w:numId w:val="13"/>
        </w:numPr>
        <w:rPr>
          <w:color w:val="0000FF" w:themeColor="hyperlink"/>
          <w:u w:val="single"/>
        </w:rPr>
      </w:pPr>
      <w:r w:rsidRPr="00493145">
        <w:rPr>
          <w:rFonts w:ascii="Arial" w:hAnsi="Arial" w:cs="Arial"/>
        </w:rPr>
        <w:t>Gravesham Business Network</w:t>
      </w:r>
      <w:r>
        <w:rPr>
          <w:rFonts w:ascii="Arial" w:hAnsi="Arial" w:cs="Arial"/>
        </w:rPr>
        <w:t xml:space="preserve">: </w:t>
      </w:r>
      <w:r w:rsidRPr="00493145">
        <w:rPr>
          <w:rFonts w:ascii="Arial" w:hAnsi="Arial" w:cs="Arial"/>
        </w:rPr>
        <w:t xml:space="preserve">The idea of the group is primarily to stimulate local business activity and collaborations, and to promote special offers and services to members. Along with local business support partners, the network informs members of business support workshops, networking opportunities and other events. As part of the network, free business networking events are delivered on a quarterly basis. </w:t>
      </w:r>
    </w:p>
    <w:p w14:paraId="448A1FBD" w14:textId="77777777" w:rsidR="00A81634" w:rsidRDefault="00A81634" w:rsidP="00A81634">
      <w:pPr>
        <w:pStyle w:val="NoSpacing"/>
        <w:ind w:left="360" w:firstLine="360"/>
        <w:rPr>
          <w:rFonts w:ascii="Arial" w:hAnsi="Arial" w:cs="Arial"/>
        </w:rPr>
      </w:pPr>
    </w:p>
    <w:p w14:paraId="17DFBB9D" w14:textId="01F05DE5" w:rsidR="00A81634" w:rsidRDefault="00000000" w:rsidP="00A81634">
      <w:pPr>
        <w:pStyle w:val="NoSpacing"/>
        <w:ind w:left="360" w:firstLine="360"/>
        <w:rPr>
          <w:rStyle w:val="Hyperlink"/>
          <w:rFonts w:ascii="Arial" w:hAnsi="Arial" w:cs="Arial"/>
        </w:rPr>
      </w:pPr>
      <w:hyperlink r:id="rId11" w:history="1">
        <w:r w:rsidR="00A81634" w:rsidRPr="00493145">
          <w:rPr>
            <w:rStyle w:val="Hyperlink"/>
            <w:rFonts w:ascii="Arial" w:hAnsi="Arial" w:cs="Arial"/>
          </w:rPr>
          <w:t>Read details of the Gravesham Business Network.</w:t>
        </w:r>
      </w:hyperlink>
    </w:p>
    <w:p w14:paraId="7D4ED18F" w14:textId="77777777" w:rsidR="00A81634" w:rsidRDefault="00A81634" w:rsidP="00A81634">
      <w:pPr>
        <w:pStyle w:val="NoSpacing"/>
        <w:ind w:left="360" w:firstLine="360"/>
        <w:rPr>
          <w:rStyle w:val="Hyperlink"/>
        </w:rPr>
      </w:pPr>
    </w:p>
    <w:p w14:paraId="166DE088" w14:textId="77777777" w:rsidR="00A81634" w:rsidRDefault="00A81634" w:rsidP="00A81634">
      <w:pPr>
        <w:pStyle w:val="NoSpacing"/>
        <w:numPr>
          <w:ilvl w:val="0"/>
          <w:numId w:val="13"/>
        </w:numPr>
        <w:rPr>
          <w:rFonts w:ascii="Arial" w:hAnsi="Arial" w:cs="Arial"/>
        </w:rPr>
      </w:pPr>
      <w:r w:rsidRPr="00493145">
        <w:rPr>
          <w:rFonts w:ascii="Arial" w:hAnsi="Arial" w:cs="Arial"/>
        </w:rPr>
        <w:t>Gravesham’s Big Conversation</w:t>
      </w:r>
      <w:r>
        <w:rPr>
          <w:rFonts w:ascii="Arial" w:hAnsi="Arial" w:cs="Arial"/>
        </w:rPr>
        <w:t xml:space="preserve">: </w:t>
      </w:r>
      <w:r w:rsidRPr="00493145">
        <w:rPr>
          <w:rFonts w:ascii="Arial" w:hAnsi="Arial" w:cs="Arial"/>
        </w:rPr>
        <w:t>Alongside the opportunities presented through the established forums, Gravesham’s Big Conversation provides a programme of in-person and digital consultative opportunities enabling the community to help shape policy and service provision.</w:t>
      </w:r>
      <w:r>
        <w:rPr>
          <w:rFonts w:ascii="Arial" w:hAnsi="Arial" w:cs="Arial"/>
        </w:rPr>
        <w:t xml:space="preserve"> </w:t>
      </w:r>
    </w:p>
    <w:p w14:paraId="3AAD29D1" w14:textId="77777777" w:rsidR="00A81634" w:rsidRDefault="00A81634" w:rsidP="00A81634">
      <w:pPr>
        <w:pStyle w:val="NoSpacing"/>
        <w:ind w:left="720"/>
        <w:rPr>
          <w:rFonts w:ascii="Arial" w:hAnsi="Arial" w:cs="Arial"/>
        </w:rPr>
      </w:pPr>
    </w:p>
    <w:p w14:paraId="7D2D2875" w14:textId="104B7AA8" w:rsidR="00A81634" w:rsidRPr="00493145" w:rsidRDefault="00000000" w:rsidP="00A81634">
      <w:pPr>
        <w:pStyle w:val="NoSpacing"/>
        <w:ind w:left="720"/>
        <w:rPr>
          <w:rFonts w:ascii="Arial" w:hAnsi="Arial" w:cs="Arial"/>
        </w:rPr>
      </w:pPr>
      <w:hyperlink r:id="rId12" w:history="1">
        <w:r w:rsidR="00A81634" w:rsidRPr="00493145">
          <w:rPr>
            <w:rStyle w:val="Hyperlink"/>
            <w:rFonts w:ascii="Arial" w:hAnsi="Arial" w:cs="Arial"/>
          </w:rPr>
          <w:t>Read details of Gravesham’s Big Conversation.</w:t>
        </w:r>
      </w:hyperlink>
    </w:p>
    <w:p w14:paraId="48761A12" w14:textId="77777777" w:rsidR="00A81634" w:rsidRDefault="00A81634" w:rsidP="00A81634">
      <w:pPr>
        <w:pStyle w:val="NoSpacing"/>
        <w:rPr>
          <w:rFonts w:ascii="Arial" w:hAnsi="Arial" w:cs="Arial"/>
        </w:rPr>
      </w:pPr>
    </w:p>
    <w:p w14:paraId="75D31142" w14:textId="77777777" w:rsidR="00A81634" w:rsidRPr="00D955CB" w:rsidRDefault="00A81634" w:rsidP="00A81634">
      <w:pPr>
        <w:pStyle w:val="NoSpacing"/>
        <w:rPr>
          <w:rFonts w:ascii="Arial" w:hAnsi="Arial" w:cs="Arial"/>
          <w:highlight w:val="yellow"/>
        </w:rPr>
      </w:pPr>
    </w:p>
    <w:p w14:paraId="3D4A0052" w14:textId="77777777" w:rsidR="00A81634" w:rsidRPr="00493145" w:rsidRDefault="00A81634" w:rsidP="00A81634">
      <w:pPr>
        <w:pStyle w:val="NoSpacing"/>
        <w:rPr>
          <w:rFonts w:ascii="Arial" w:hAnsi="Arial" w:cs="Arial"/>
        </w:rPr>
      </w:pPr>
      <w:r w:rsidRPr="00493145">
        <w:rPr>
          <w:rFonts w:ascii="Arial" w:hAnsi="Arial" w:cs="Arial"/>
        </w:rPr>
        <w:t>In addition</w:t>
      </w:r>
      <w:r>
        <w:rPr>
          <w:rFonts w:ascii="Arial" w:hAnsi="Arial" w:cs="Arial"/>
        </w:rPr>
        <w:t>,</w:t>
      </w:r>
      <w:r w:rsidRPr="00493145">
        <w:rPr>
          <w:rFonts w:ascii="Arial" w:hAnsi="Arial" w:cs="Arial"/>
        </w:rPr>
        <w:t xml:space="preserve"> local Councillors provide community engagement opportunities through their open surgeries or online channels. Here residents can ask questions about the council and its policies or raise concerns with their local elected representative about problems in the local area.</w:t>
      </w:r>
      <w:r>
        <w:rPr>
          <w:rFonts w:ascii="Arial" w:hAnsi="Arial" w:cs="Arial"/>
        </w:rPr>
        <w:t xml:space="preserve"> </w:t>
      </w:r>
      <w:hyperlink r:id="rId13" w:history="1">
        <w:r w:rsidRPr="00493145">
          <w:rPr>
            <w:rStyle w:val="Hyperlink"/>
            <w:rFonts w:ascii="Arial" w:hAnsi="Arial" w:cs="Arial"/>
          </w:rPr>
          <w:t>Read details of Gravesham Borough Council Councillors.</w:t>
        </w:r>
      </w:hyperlink>
    </w:p>
    <w:p w14:paraId="5AFB20A1" w14:textId="77777777" w:rsidR="00A81634" w:rsidRDefault="00A81634" w:rsidP="00A81634">
      <w:pPr>
        <w:rPr>
          <w:rFonts w:ascii="Arial" w:hAnsi="Arial" w:cs="Arial"/>
        </w:rPr>
      </w:pPr>
    </w:p>
    <w:p w14:paraId="46085244" w14:textId="1FE1BBE1" w:rsidR="00F27970" w:rsidRDefault="00F27970" w:rsidP="006255AD">
      <w:pPr>
        <w:autoSpaceDE w:val="0"/>
        <w:autoSpaceDN w:val="0"/>
        <w:adjustRightInd w:val="0"/>
        <w:spacing w:after="0" w:line="240" w:lineRule="auto"/>
        <w:rPr>
          <w:rFonts w:ascii="Arial" w:hAnsi="Arial" w:cs="Arial"/>
        </w:rPr>
      </w:pPr>
    </w:p>
    <w:p w14:paraId="31F16724" w14:textId="150E9B59" w:rsidR="00A81634" w:rsidRDefault="00A81634" w:rsidP="006255AD">
      <w:pPr>
        <w:autoSpaceDE w:val="0"/>
        <w:autoSpaceDN w:val="0"/>
        <w:adjustRightInd w:val="0"/>
        <w:spacing w:after="0" w:line="240" w:lineRule="auto"/>
        <w:rPr>
          <w:rFonts w:ascii="Arial" w:hAnsi="Arial" w:cs="Arial"/>
        </w:rPr>
      </w:pPr>
    </w:p>
    <w:p w14:paraId="6C6A5732" w14:textId="46A001A7" w:rsidR="00A81634" w:rsidRDefault="00A81634" w:rsidP="006255AD">
      <w:pPr>
        <w:autoSpaceDE w:val="0"/>
        <w:autoSpaceDN w:val="0"/>
        <w:adjustRightInd w:val="0"/>
        <w:spacing w:after="0" w:line="240" w:lineRule="auto"/>
        <w:rPr>
          <w:rFonts w:ascii="Arial" w:hAnsi="Arial" w:cs="Arial"/>
        </w:rPr>
      </w:pPr>
    </w:p>
    <w:p w14:paraId="036C35DE" w14:textId="77777777" w:rsidR="00A81634" w:rsidRDefault="00A81634" w:rsidP="006255AD">
      <w:pPr>
        <w:autoSpaceDE w:val="0"/>
        <w:autoSpaceDN w:val="0"/>
        <w:adjustRightInd w:val="0"/>
        <w:spacing w:after="0" w:line="240" w:lineRule="auto"/>
        <w:rPr>
          <w:rFonts w:ascii="Arial" w:hAnsi="Arial" w:cs="Arial"/>
        </w:rPr>
      </w:pPr>
    </w:p>
    <w:p w14:paraId="4F677BA7" w14:textId="467028E3" w:rsidR="00D135B0" w:rsidRDefault="00D135B0" w:rsidP="00D135B0">
      <w:pPr>
        <w:pStyle w:val="NoSpacing"/>
        <w:rPr>
          <w:rFonts w:ascii="Arial" w:eastAsia="Arial" w:hAnsi="Arial" w:cs="Arial"/>
          <w:color w:val="365F91" w:themeColor="accent1" w:themeShade="BF"/>
          <w:sz w:val="26"/>
          <w:szCs w:val="26"/>
        </w:rPr>
      </w:pPr>
    </w:p>
    <w:p w14:paraId="57DD55E5" w14:textId="77777777" w:rsidR="00D135B0" w:rsidRDefault="00D135B0" w:rsidP="00D135B0">
      <w:pPr>
        <w:pStyle w:val="NoSpacing"/>
        <w:rPr>
          <w:rFonts w:ascii="Arial" w:eastAsia="Arial" w:hAnsi="Arial" w:cs="Arial"/>
          <w:color w:val="365F91" w:themeColor="accent1" w:themeShade="BF"/>
          <w:sz w:val="26"/>
          <w:szCs w:val="26"/>
        </w:rPr>
      </w:pPr>
    </w:p>
    <w:p w14:paraId="461F2A44" w14:textId="310CB423" w:rsidR="00D135B0" w:rsidRPr="00742EE2" w:rsidRDefault="00D135B0" w:rsidP="00D135B0">
      <w:pPr>
        <w:pStyle w:val="NoSpacing"/>
        <w:rPr>
          <w:rFonts w:ascii="Arial" w:eastAsia="Arial" w:hAnsi="Arial" w:cs="Arial"/>
          <w:color w:val="365F91" w:themeColor="accent1" w:themeShade="BF"/>
          <w:sz w:val="26"/>
          <w:szCs w:val="26"/>
        </w:rPr>
      </w:pPr>
      <w:r>
        <w:rPr>
          <w:rFonts w:ascii="Arial" w:eastAsia="Arial" w:hAnsi="Arial" w:cs="Arial"/>
          <w:color w:val="365F91" w:themeColor="accent1" w:themeShade="BF"/>
          <w:sz w:val="26"/>
          <w:szCs w:val="26"/>
        </w:rPr>
        <w:lastRenderedPageBreak/>
        <w:t>6. Safety</w:t>
      </w:r>
      <w:r w:rsidRPr="00742EE2">
        <w:rPr>
          <w:rFonts w:ascii="Arial" w:eastAsia="Arial" w:hAnsi="Arial" w:cs="Arial"/>
          <w:color w:val="365F91" w:themeColor="accent1" w:themeShade="BF"/>
          <w:sz w:val="26"/>
          <w:szCs w:val="26"/>
        </w:rPr>
        <w:t xml:space="preserve"> </w:t>
      </w:r>
    </w:p>
    <w:p w14:paraId="34A5480C" w14:textId="77777777" w:rsidR="00D135B0" w:rsidRPr="00742EE2" w:rsidRDefault="00D135B0" w:rsidP="00D135B0">
      <w:pPr>
        <w:pStyle w:val="NoSpacing"/>
      </w:pPr>
    </w:p>
    <w:p w14:paraId="43C9C9ED" w14:textId="77777777" w:rsidR="00D135B0" w:rsidRPr="00742EE2" w:rsidRDefault="00D135B0" w:rsidP="00D135B0">
      <w:pPr>
        <w:pStyle w:val="NoSpacing"/>
        <w:rPr>
          <w:rFonts w:ascii="Arial" w:hAnsi="Arial" w:cs="Arial"/>
        </w:rPr>
      </w:pPr>
      <w:r>
        <w:rPr>
          <w:rFonts w:ascii="Arial" w:hAnsi="Arial" w:cs="Arial"/>
        </w:rPr>
        <w:t>The c</w:t>
      </w:r>
      <w:r w:rsidRPr="00742EE2">
        <w:rPr>
          <w:rFonts w:ascii="Arial" w:hAnsi="Arial" w:cs="Arial"/>
        </w:rPr>
        <w:t>ouncil plays a significant role in addressing community safety, working as a key partner of Kent Police and Kent Fire and Rescue within the local Community Safety Partnership (CSP).</w:t>
      </w:r>
      <w:r>
        <w:rPr>
          <w:rFonts w:ascii="Arial" w:hAnsi="Arial" w:cs="Arial"/>
        </w:rPr>
        <w:t xml:space="preserve"> </w:t>
      </w:r>
      <w:r w:rsidRPr="00742EE2">
        <w:rPr>
          <w:rFonts w:ascii="Arial" w:hAnsi="Arial" w:cs="Arial"/>
        </w:rPr>
        <w:t xml:space="preserve">Each year the CSP is required to conduct an audit of levels of crime and disorder in </w:t>
      </w:r>
      <w:r>
        <w:rPr>
          <w:rFonts w:ascii="Arial" w:hAnsi="Arial" w:cs="Arial"/>
        </w:rPr>
        <w:t>Gravesham</w:t>
      </w:r>
      <w:r w:rsidRPr="00742EE2">
        <w:rPr>
          <w:rFonts w:ascii="Arial" w:hAnsi="Arial" w:cs="Arial"/>
        </w:rPr>
        <w:t xml:space="preserve"> known as the Strategic Assessment. This exercise allows the CSP to gain a better understanding of current community safety issues in our area based on information recorded by partner agencies.  Annual data from the 2022 Strategic Assessment, covering the period 1 October 2021-30 September 2022, forms the basis of the findings presented in this chapter.</w:t>
      </w:r>
    </w:p>
    <w:p w14:paraId="2F547392" w14:textId="77777777" w:rsidR="00D135B0" w:rsidRPr="00742EE2" w:rsidRDefault="00D135B0" w:rsidP="00D135B0">
      <w:pPr>
        <w:pStyle w:val="NoSpacing"/>
        <w:rPr>
          <w:rFonts w:ascii="Arial" w:hAnsi="Arial" w:cs="Arial"/>
        </w:rPr>
      </w:pPr>
    </w:p>
    <w:p w14:paraId="55E28626" w14:textId="77777777" w:rsidR="00D135B0" w:rsidRPr="00742EE2" w:rsidRDefault="00D135B0" w:rsidP="00D135B0">
      <w:pPr>
        <w:pStyle w:val="NoSpacing"/>
        <w:rPr>
          <w:rFonts w:ascii="Arial" w:hAnsi="Arial" w:cs="Arial"/>
          <w:color w:val="365F91" w:themeColor="accent1" w:themeShade="BF"/>
          <w:sz w:val="24"/>
          <w:szCs w:val="24"/>
        </w:rPr>
      </w:pPr>
      <w:r w:rsidRPr="00742EE2">
        <w:rPr>
          <w:rFonts w:ascii="Arial" w:hAnsi="Arial" w:cs="Arial"/>
          <w:color w:val="365F91" w:themeColor="accent1" w:themeShade="BF"/>
          <w:sz w:val="24"/>
          <w:szCs w:val="24"/>
        </w:rPr>
        <w:t xml:space="preserve">Crime </w:t>
      </w:r>
    </w:p>
    <w:p w14:paraId="6E413F09" w14:textId="77777777" w:rsidR="00D135B0" w:rsidRPr="00742EE2" w:rsidRDefault="00D135B0" w:rsidP="00D135B0">
      <w:pPr>
        <w:pStyle w:val="NoSpacing"/>
        <w:rPr>
          <w:rFonts w:ascii="Arial" w:hAnsi="Arial" w:cs="Arial"/>
          <w:b/>
        </w:rPr>
      </w:pPr>
    </w:p>
    <w:p w14:paraId="581C374D" w14:textId="77777777" w:rsidR="00D135B0" w:rsidRDefault="00D135B0" w:rsidP="00D135B0">
      <w:pPr>
        <w:pStyle w:val="NoSpacing"/>
        <w:numPr>
          <w:ilvl w:val="0"/>
          <w:numId w:val="14"/>
        </w:numPr>
        <w:rPr>
          <w:rFonts w:ascii="Arial" w:hAnsi="Arial" w:cs="Arial"/>
        </w:rPr>
      </w:pPr>
      <w:bookmarkStart w:id="1" w:name="_Hlk146803255"/>
      <w:r w:rsidRPr="00742EE2">
        <w:rPr>
          <w:rFonts w:ascii="Arial" w:hAnsi="Arial" w:cs="Arial"/>
        </w:rPr>
        <w:t xml:space="preserve">The number of offences recorded in Gravesham in the period amounted to 11,617 - a proportionate rate of 108.7 offences per 1,000 population.  This represents the third highest recorded rate across Kent districts behind Thanet (127.4) and Dartford (111.2) </w:t>
      </w:r>
      <w:bookmarkEnd w:id="1"/>
      <w:r w:rsidRPr="00742EE2">
        <w:rPr>
          <w:rFonts w:ascii="Arial" w:hAnsi="Arial" w:cs="Arial"/>
        </w:rPr>
        <w:t>(</w:t>
      </w:r>
      <w:r w:rsidRPr="00742EE2">
        <w:rPr>
          <w:rFonts w:ascii="Arial" w:hAnsi="Arial" w:cs="Arial"/>
          <w:b/>
          <w:bCs/>
        </w:rPr>
        <w:t>Table 12</w:t>
      </w:r>
      <w:r w:rsidRPr="00742EE2">
        <w:rPr>
          <w:rFonts w:ascii="Arial" w:hAnsi="Arial" w:cs="Arial"/>
        </w:rPr>
        <w:t>).</w:t>
      </w:r>
    </w:p>
    <w:p w14:paraId="4D8268B4" w14:textId="77777777" w:rsidR="00D135B0" w:rsidRDefault="00D135B0" w:rsidP="00D135B0">
      <w:pPr>
        <w:pStyle w:val="NoSpacing"/>
        <w:numPr>
          <w:ilvl w:val="0"/>
          <w:numId w:val="14"/>
        </w:numPr>
        <w:rPr>
          <w:rFonts w:ascii="Arial" w:hAnsi="Arial" w:cs="Arial"/>
        </w:rPr>
      </w:pPr>
      <w:r w:rsidRPr="00CA4E2E">
        <w:rPr>
          <w:rFonts w:ascii="Arial" w:hAnsi="Arial" w:cs="Arial"/>
        </w:rPr>
        <w:t xml:space="preserve">The leading category of recorded crime in the borough is ‘violence against the person’. These crimes account for 5,036 recorded incidents, 43.4% of total crime in the borough over the period. </w:t>
      </w:r>
    </w:p>
    <w:p w14:paraId="1EF7922A" w14:textId="77777777" w:rsidR="00D135B0" w:rsidRDefault="00D135B0" w:rsidP="00D135B0">
      <w:pPr>
        <w:pStyle w:val="NoSpacing"/>
        <w:numPr>
          <w:ilvl w:val="0"/>
          <w:numId w:val="14"/>
        </w:numPr>
        <w:rPr>
          <w:rFonts w:ascii="Arial" w:hAnsi="Arial" w:cs="Arial"/>
        </w:rPr>
      </w:pPr>
      <w:r w:rsidRPr="00CA4E2E">
        <w:rPr>
          <w:rFonts w:ascii="Arial" w:hAnsi="Arial" w:cs="Arial"/>
        </w:rPr>
        <w:t>Anti-social behaviour incidents in Gravesham fell by 38.0%, the third largest reduction recorded in Kent and set against a county reduction of 34.2%, in part influenced by the recording of Covid-19 restriction breaches in the two previous years. Despite the reduction, Gravesham’s rate (18.7 incidents per 1,000 population) remains second highest in Kent.</w:t>
      </w:r>
    </w:p>
    <w:p w14:paraId="1AAF27C2" w14:textId="77777777" w:rsidR="00D135B0" w:rsidRDefault="00D135B0" w:rsidP="00D135B0">
      <w:pPr>
        <w:pStyle w:val="NoSpacing"/>
        <w:numPr>
          <w:ilvl w:val="0"/>
          <w:numId w:val="14"/>
        </w:numPr>
        <w:rPr>
          <w:rFonts w:ascii="Arial" w:hAnsi="Arial" w:cs="Arial"/>
        </w:rPr>
      </w:pPr>
      <w:r w:rsidRPr="00CA4E2E">
        <w:rPr>
          <w:rFonts w:ascii="Arial" w:hAnsi="Arial" w:cs="Arial"/>
          <w:lang w:eastAsia="en-GB"/>
        </w:rPr>
        <w:t>Hate crime rose by 2.0% in the last year against an overall Kent rise of 13.3%. Gravesham’s total of 406 reported hate crimes (3.8 offences per 1,000 population) does however present the second highest rate in Kent - the vast majority racially motivated.</w:t>
      </w:r>
    </w:p>
    <w:p w14:paraId="4C94F06D" w14:textId="77777777" w:rsidR="00D135B0" w:rsidRPr="00CA4E2E" w:rsidRDefault="00D135B0" w:rsidP="00D135B0">
      <w:pPr>
        <w:pStyle w:val="NoSpacing"/>
        <w:numPr>
          <w:ilvl w:val="0"/>
          <w:numId w:val="14"/>
        </w:numPr>
        <w:rPr>
          <w:rFonts w:ascii="Arial" w:hAnsi="Arial" w:cs="Arial"/>
        </w:rPr>
      </w:pPr>
      <w:r w:rsidRPr="00CA4E2E">
        <w:rPr>
          <w:rFonts w:ascii="Arial" w:hAnsi="Arial" w:cs="Arial"/>
        </w:rPr>
        <w:t>The number of safeguarding concerns reported in Gravesham increased by 39.7%, slightly higher than the average increase seen across Kent of 34.6%. Despite this, at 7.0 Gravesham’s rate of reports per 1,000 population remains below the Kent average (8.1).</w:t>
      </w:r>
    </w:p>
    <w:p w14:paraId="08D87339" w14:textId="77777777" w:rsidR="00D135B0" w:rsidRPr="00742EE2" w:rsidRDefault="00D135B0" w:rsidP="00D135B0">
      <w:pPr>
        <w:pStyle w:val="NoSpacing"/>
      </w:pPr>
    </w:p>
    <w:p w14:paraId="72C8FB37" w14:textId="77777777" w:rsidR="00D135B0" w:rsidRPr="00742EE2" w:rsidRDefault="00D135B0" w:rsidP="00D135B0">
      <w:pPr>
        <w:pStyle w:val="NoSpacing"/>
        <w:rPr>
          <w:rFonts w:ascii="Arial" w:hAnsi="Arial" w:cs="Arial"/>
          <w:color w:val="365F91" w:themeColor="accent1" w:themeShade="BF"/>
          <w:sz w:val="24"/>
          <w:szCs w:val="24"/>
        </w:rPr>
      </w:pPr>
      <w:r w:rsidRPr="00742EE2">
        <w:rPr>
          <w:rFonts w:ascii="Arial" w:hAnsi="Arial" w:cs="Arial"/>
          <w:color w:val="365F91" w:themeColor="accent1" w:themeShade="BF"/>
          <w:sz w:val="24"/>
          <w:szCs w:val="24"/>
        </w:rPr>
        <w:t>Fires and Roads</w:t>
      </w:r>
    </w:p>
    <w:p w14:paraId="235A5EF3" w14:textId="77777777" w:rsidR="00D135B0" w:rsidRPr="00742EE2" w:rsidRDefault="00D135B0" w:rsidP="00D135B0">
      <w:pPr>
        <w:pStyle w:val="NoSpacing"/>
        <w:rPr>
          <w:rFonts w:ascii="Arial" w:hAnsi="Arial" w:cs="Arial"/>
        </w:rPr>
      </w:pPr>
    </w:p>
    <w:p w14:paraId="5CF94E64" w14:textId="77777777" w:rsidR="00D135B0" w:rsidRDefault="00D135B0" w:rsidP="00D135B0">
      <w:pPr>
        <w:pStyle w:val="NoSpacing"/>
        <w:numPr>
          <w:ilvl w:val="0"/>
          <w:numId w:val="15"/>
        </w:numPr>
        <w:rPr>
          <w:rFonts w:ascii="Arial" w:hAnsi="Arial" w:cs="Arial"/>
        </w:rPr>
      </w:pPr>
      <w:r w:rsidRPr="00742EE2">
        <w:rPr>
          <w:rFonts w:ascii="Arial" w:hAnsi="Arial" w:cs="Arial"/>
        </w:rPr>
        <w:t>Comparatively, at 3.4 fires per 1,000 population Gravesham is recorded as having the third highest rate of fire incidents in Kent.</w:t>
      </w:r>
    </w:p>
    <w:p w14:paraId="6341426B" w14:textId="77777777" w:rsidR="00D135B0" w:rsidRDefault="00D135B0" w:rsidP="00D135B0">
      <w:pPr>
        <w:pStyle w:val="NoSpacing"/>
        <w:numPr>
          <w:ilvl w:val="0"/>
          <w:numId w:val="15"/>
        </w:numPr>
        <w:rPr>
          <w:rFonts w:ascii="Arial" w:hAnsi="Arial" w:cs="Arial"/>
        </w:rPr>
      </w:pPr>
      <w:r w:rsidRPr="00CA4E2E">
        <w:rPr>
          <w:rFonts w:ascii="Arial" w:hAnsi="Arial" w:cs="Arial"/>
        </w:rPr>
        <w:t xml:space="preserve">Gravesham (1.9) has the highest rate of deliberate fires per 1,000 population in Kent and, at 55%, is the only area that records a greater proportion of deliberate rather than accidental fires in the county. </w:t>
      </w:r>
    </w:p>
    <w:p w14:paraId="599DF8E2" w14:textId="77777777" w:rsidR="00D135B0" w:rsidRPr="00CA4E2E" w:rsidRDefault="00D135B0" w:rsidP="00D135B0">
      <w:pPr>
        <w:pStyle w:val="NoSpacing"/>
        <w:numPr>
          <w:ilvl w:val="0"/>
          <w:numId w:val="15"/>
        </w:numPr>
        <w:rPr>
          <w:rFonts w:ascii="Arial" w:hAnsi="Arial" w:cs="Arial"/>
        </w:rPr>
      </w:pPr>
      <w:r w:rsidRPr="00CA4E2E">
        <w:rPr>
          <w:rFonts w:ascii="Arial" w:hAnsi="Arial" w:cs="Arial"/>
        </w:rPr>
        <w:t>On Gravesham’s roads there were 396 road traffic accidents (RTA) in the year to July 2022, an increase of 45% on the previous year and representing the highest such increase in Kent. In addition, the number of traffic casualties per 1,000 population in Gravesham also increased by 55.3% against a 1.3% average reduction recorded across Kent districts.</w:t>
      </w:r>
      <w:r>
        <w:tab/>
      </w:r>
    </w:p>
    <w:p w14:paraId="1C61D32A" w14:textId="77777777" w:rsidR="00D135B0" w:rsidRPr="00CA4E2E" w:rsidRDefault="00D135B0" w:rsidP="00D135B0">
      <w:pPr>
        <w:pStyle w:val="NoSpacing"/>
        <w:rPr>
          <w:rFonts w:ascii="Arial" w:hAnsi="Arial" w:cs="Arial"/>
        </w:rPr>
      </w:pPr>
    </w:p>
    <w:p w14:paraId="2DC6A1E4" w14:textId="490C5915" w:rsidR="00F27970" w:rsidRDefault="00000000" w:rsidP="00D135B0">
      <w:pPr>
        <w:autoSpaceDE w:val="0"/>
        <w:autoSpaceDN w:val="0"/>
        <w:adjustRightInd w:val="0"/>
        <w:spacing w:after="0" w:line="240" w:lineRule="auto"/>
        <w:rPr>
          <w:rStyle w:val="Hyperlink"/>
          <w:rFonts w:ascii="Arial" w:hAnsi="Arial" w:cs="Arial"/>
        </w:rPr>
      </w:pPr>
      <w:hyperlink r:id="rId14" w:history="1">
        <w:r w:rsidR="00D135B0" w:rsidRPr="00CA4E2E">
          <w:rPr>
            <w:rStyle w:val="Hyperlink"/>
            <w:rFonts w:ascii="Arial" w:hAnsi="Arial" w:cs="Arial"/>
          </w:rPr>
          <w:t>Read details of the Gravesham Community Safety Partnership.</w:t>
        </w:r>
      </w:hyperlink>
    </w:p>
    <w:p w14:paraId="79C24A46" w14:textId="2DA862DB" w:rsidR="00D135B0" w:rsidRDefault="00D135B0" w:rsidP="00D135B0">
      <w:pPr>
        <w:autoSpaceDE w:val="0"/>
        <w:autoSpaceDN w:val="0"/>
        <w:adjustRightInd w:val="0"/>
        <w:spacing w:after="0" w:line="240" w:lineRule="auto"/>
        <w:rPr>
          <w:rStyle w:val="Hyperlink"/>
          <w:rFonts w:ascii="Arial" w:hAnsi="Arial" w:cs="Arial"/>
        </w:rPr>
      </w:pPr>
    </w:p>
    <w:p w14:paraId="2FE5361D" w14:textId="0759C61D" w:rsidR="00D135B0" w:rsidRDefault="00D135B0" w:rsidP="00D135B0">
      <w:pPr>
        <w:autoSpaceDE w:val="0"/>
        <w:autoSpaceDN w:val="0"/>
        <w:adjustRightInd w:val="0"/>
        <w:spacing w:after="0" w:line="240" w:lineRule="auto"/>
        <w:rPr>
          <w:rStyle w:val="Hyperlink"/>
          <w:rFonts w:ascii="Arial" w:hAnsi="Arial" w:cs="Arial"/>
        </w:rPr>
      </w:pPr>
    </w:p>
    <w:p w14:paraId="1A11F644" w14:textId="3E215D3A" w:rsidR="00D135B0" w:rsidRDefault="00D135B0" w:rsidP="00D135B0">
      <w:pPr>
        <w:autoSpaceDE w:val="0"/>
        <w:autoSpaceDN w:val="0"/>
        <w:adjustRightInd w:val="0"/>
        <w:spacing w:after="0" w:line="240" w:lineRule="auto"/>
        <w:rPr>
          <w:rStyle w:val="Hyperlink"/>
          <w:rFonts w:ascii="Arial" w:hAnsi="Arial" w:cs="Arial"/>
        </w:rPr>
      </w:pPr>
    </w:p>
    <w:p w14:paraId="1DAF37AE" w14:textId="77777777" w:rsidR="00D135B0" w:rsidRDefault="00D135B0" w:rsidP="00D135B0">
      <w:pPr>
        <w:pStyle w:val="NoSpacing"/>
        <w:rPr>
          <w:rFonts w:ascii="Arial" w:eastAsia="Arial" w:hAnsi="Arial" w:cs="Arial"/>
          <w:color w:val="365F91" w:themeColor="accent1" w:themeShade="BF"/>
          <w:sz w:val="26"/>
          <w:szCs w:val="26"/>
        </w:rPr>
      </w:pPr>
    </w:p>
    <w:p w14:paraId="4E99585B" w14:textId="77777777" w:rsidR="00D135B0" w:rsidRDefault="00D135B0" w:rsidP="00D135B0">
      <w:pPr>
        <w:pStyle w:val="NoSpacing"/>
        <w:rPr>
          <w:rFonts w:ascii="Arial" w:eastAsia="Arial" w:hAnsi="Arial" w:cs="Arial"/>
          <w:color w:val="365F91" w:themeColor="accent1" w:themeShade="BF"/>
          <w:sz w:val="26"/>
          <w:szCs w:val="26"/>
        </w:rPr>
      </w:pPr>
    </w:p>
    <w:p w14:paraId="1CCF9DAB" w14:textId="61352355" w:rsidR="00D135B0" w:rsidRPr="00353295" w:rsidRDefault="00D135B0" w:rsidP="00D135B0">
      <w:pPr>
        <w:pStyle w:val="NoSpacing"/>
        <w:rPr>
          <w:rFonts w:ascii="Arial" w:eastAsia="Arial" w:hAnsi="Arial" w:cs="Arial"/>
          <w:color w:val="365F91" w:themeColor="accent1" w:themeShade="BF"/>
          <w:sz w:val="26"/>
          <w:szCs w:val="26"/>
        </w:rPr>
      </w:pPr>
      <w:r>
        <w:rPr>
          <w:rFonts w:ascii="Arial" w:eastAsia="Arial" w:hAnsi="Arial" w:cs="Arial"/>
          <w:color w:val="365F91" w:themeColor="accent1" w:themeShade="BF"/>
          <w:sz w:val="26"/>
          <w:szCs w:val="26"/>
        </w:rPr>
        <w:lastRenderedPageBreak/>
        <w:t>7. Economy</w:t>
      </w:r>
      <w:r w:rsidRPr="00353295">
        <w:rPr>
          <w:rFonts w:ascii="Arial" w:eastAsia="Arial" w:hAnsi="Arial" w:cs="Arial"/>
          <w:color w:val="365F91" w:themeColor="accent1" w:themeShade="BF"/>
          <w:sz w:val="26"/>
          <w:szCs w:val="26"/>
        </w:rPr>
        <w:t xml:space="preserve"> </w:t>
      </w:r>
    </w:p>
    <w:p w14:paraId="63E05939" w14:textId="77777777" w:rsidR="00D135B0" w:rsidRDefault="00D135B0" w:rsidP="00D135B0">
      <w:pPr>
        <w:pStyle w:val="NoSpacing"/>
        <w:rPr>
          <w:rFonts w:ascii="Arial" w:hAnsi="Arial" w:cs="Arial"/>
          <w:color w:val="000000"/>
        </w:rPr>
      </w:pPr>
    </w:p>
    <w:p w14:paraId="30CBD113" w14:textId="77777777" w:rsidR="00D135B0" w:rsidRPr="00353295" w:rsidRDefault="00D135B0" w:rsidP="00D135B0">
      <w:pPr>
        <w:pStyle w:val="NoSpacing"/>
        <w:rPr>
          <w:rFonts w:ascii="Arial" w:hAnsi="Arial" w:cs="Arial"/>
        </w:rPr>
      </w:pPr>
      <w:r w:rsidRPr="00353295">
        <w:rPr>
          <w:rFonts w:ascii="Arial" w:hAnsi="Arial" w:cs="Arial"/>
          <w:color w:val="000000"/>
        </w:rPr>
        <w:t xml:space="preserve">Gravesham’s economic profile reflects a legacy of low-skilled employment and a dependence on now declining economic sectors, specifically manufacturing through historical river-based heavy industry. </w:t>
      </w:r>
      <w:r>
        <w:rPr>
          <w:rFonts w:ascii="Arial" w:hAnsi="Arial" w:cs="Arial"/>
          <w:color w:val="000000"/>
        </w:rPr>
        <w:t>The current position therefore</w:t>
      </w:r>
      <w:r w:rsidRPr="00353295">
        <w:rPr>
          <w:rFonts w:ascii="Arial" w:hAnsi="Arial" w:cs="Arial"/>
          <w:color w:val="000000"/>
        </w:rPr>
        <w:t xml:space="preserve"> points to </w:t>
      </w:r>
      <w:r w:rsidRPr="00353295">
        <w:rPr>
          <w:rFonts w:ascii="Arial" w:hAnsi="Arial" w:cs="Arial"/>
        </w:rPr>
        <w:t>challenges of low productivity, a high proportion of low pay jobs, low qualifications levels and high unemployment levels, indicating issues with the mix of employment sectors and the nature of available employment.</w:t>
      </w:r>
    </w:p>
    <w:p w14:paraId="162098ED" w14:textId="77777777" w:rsidR="00D135B0" w:rsidRPr="00353295" w:rsidRDefault="00D135B0" w:rsidP="00D135B0">
      <w:pPr>
        <w:pStyle w:val="NoSpacing"/>
        <w:rPr>
          <w:rFonts w:ascii="Arial" w:hAnsi="Arial" w:cs="Arial"/>
        </w:rPr>
      </w:pPr>
    </w:p>
    <w:p w14:paraId="7B977976" w14:textId="77777777" w:rsidR="00D135B0" w:rsidRPr="00353295" w:rsidRDefault="00D135B0" w:rsidP="00D135B0">
      <w:pPr>
        <w:pStyle w:val="NoSpacing"/>
        <w:rPr>
          <w:rFonts w:ascii="Arial" w:hAnsi="Arial" w:cs="Arial"/>
        </w:rPr>
      </w:pPr>
      <w:r w:rsidRPr="00353295">
        <w:rPr>
          <w:rFonts w:ascii="Arial" w:hAnsi="Arial" w:cs="Arial"/>
        </w:rPr>
        <w:t>Despite these historical issues, there are positive areas within the local economy; a</w:t>
      </w:r>
      <w:r w:rsidRPr="00353295">
        <w:rPr>
          <w:rFonts w:ascii="Arial" w:eastAsia="Times New Roman" w:hAnsi="Arial" w:cs="Arial"/>
          <w:color w:val="000000"/>
          <w:lang w:eastAsia="en-GB"/>
        </w:rPr>
        <w:t xml:space="preserve">verage resident and workplace earnings are above regional and national averages, and there has been strong business and employment growth in the last few years. Additionally, </w:t>
      </w:r>
      <w:r w:rsidRPr="00353295">
        <w:rPr>
          <w:rFonts w:ascii="Arial" w:hAnsi="Arial" w:cs="Arial"/>
          <w:color w:val="000000"/>
        </w:rPr>
        <w:t xml:space="preserve">there are a number of important economic regeneration and house building projects being undertaken in and around the borough. Initiatives including; Ebbsfleet Garden City, North Kent Enterprise Zone and significant town centre regeneration projects will create a wealth of new job opportunities for Gravesham residents, whilst delivery of key transport infrastructure developments will help attract inward investment, </w:t>
      </w:r>
      <w:r w:rsidRPr="00353295">
        <w:rPr>
          <w:rFonts w:ascii="Arial" w:hAnsi="Arial" w:cs="Arial"/>
        </w:rPr>
        <w:t>acting as a catalyst for future economic development.</w:t>
      </w:r>
    </w:p>
    <w:p w14:paraId="7D1B9B00" w14:textId="77777777" w:rsidR="00D135B0" w:rsidRPr="00353295" w:rsidRDefault="00D135B0" w:rsidP="00D135B0">
      <w:pPr>
        <w:pStyle w:val="NoSpacing"/>
        <w:rPr>
          <w:rFonts w:ascii="Arial" w:hAnsi="Arial" w:cs="Arial"/>
          <w:color w:val="000000"/>
        </w:rPr>
      </w:pPr>
      <w:r w:rsidRPr="00353295">
        <w:rPr>
          <w:rFonts w:ascii="Arial" w:hAnsi="Arial" w:cs="Arial"/>
          <w:color w:val="000000"/>
        </w:rPr>
        <w:t xml:space="preserve">  </w:t>
      </w:r>
    </w:p>
    <w:p w14:paraId="27164803" w14:textId="77777777" w:rsidR="00D135B0" w:rsidRPr="00353295" w:rsidRDefault="00D135B0" w:rsidP="00D135B0">
      <w:pPr>
        <w:pStyle w:val="NoSpacing"/>
        <w:rPr>
          <w:rFonts w:ascii="Arial" w:hAnsi="Arial" w:cs="Arial"/>
          <w:color w:val="365F91" w:themeColor="accent1" w:themeShade="BF"/>
          <w:sz w:val="24"/>
          <w:szCs w:val="24"/>
        </w:rPr>
      </w:pPr>
      <w:r w:rsidRPr="00353295">
        <w:rPr>
          <w:rFonts w:ascii="Arial" w:hAnsi="Arial" w:cs="Arial"/>
          <w:color w:val="365F91" w:themeColor="accent1" w:themeShade="BF"/>
          <w:sz w:val="24"/>
          <w:szCs w:val="24"/>
        </w:rPr>
        <w:t>Demography</w:t>
      </w:r>
    </w:p>
    <w:p w14:paraId="1CD55C0E" w14:textId="77777777" w:rsidR="00D135B0" w:rsidRDefault="00D135B0" w:rsidP="00D135B0">
      <w:pPr>
        <w:pStyle w:val="NoSpacing"/>
        <w:rPr>
          <w:rFonts w:ascii="Arial" w:hAnsi="Arial" w:cs="Arial"/>
        </w:rPr>
      </w:pPr>
    </w:p>
    <w:p w14:paraId="40394B12" w14:textId="77777777" w:rsidR="00D135B0" w:rsidRPr="00353295" w:rsidRDefault="00D135B0" w:rsidP="00D135B0">
      <w:pPr>
        <w:pStyle w:val="NoSpacing"/>
        <w:numPr>
          <w:ilvl w:val="0"/>
          <w:numId w:val="16"/>
        </w:numPr>
        <w:rPr>
          <w:rFonts w:ascii="Arial" w:hAnsi="Arial" w:cs="Arial"/>
        </w:rPr>
      </w:pPr>
      <w:r w:rsidRPr="00353295">
        <w:rPr>
          <w:rFonts w:ascii="Arial" w:hAnsi="Arial" w:cs="Arial"/>
        </w:rPr>
        <w:t xml:space="preserve">As </w:t>
      </w:r>
      <w:proofErr w:type="gramStart"/>
      <w:r w:rsidRPr="00353295">
        <w:rPr>
          <w:rFonts w:ascii="Arial" w:hAnsi="Arial" w:cs="Arial"/>
        </w:rPr>
        <w:t>at</w:t>
      </w:r>
      <w:proofErr w:type="gramEnd"/>
      <w:r w:rsidRPr="00353295">
        <w:rPr>
          <w:rFonts w:ascii="Arial" w:hAnsi="Arial" w:cs="Arial"/>
        </w:rPr>
        <w:t xml:space="preserve"> 2023, Gravesham is home to 4,060 businesses, supporting 34,400 jobs. Gravesham’s business base has grown by 1,430 (54.4%) enterprises since 2010, the second highest proportionate figure in Kent, and significantly ahead of the county (28.9%) and national (30.4%) positions (</w:t>
      </w:r>
      <w:r w:rsidRPr="00353295">
        <w:rPr>
          <w:rFonts w:ascii="Arial" w:hAnsi="Arial" w:cs="Arial"/>
          <w:b/>
          <w:bCs/>
        </w:rPr>
        <w:t xml:space="preserve">Table </w:t>
      </w:r>
      <w:r>
        <w:rPr>
          <w:rFonts w:ascii="Arial" w:hAnsi="Arial" w:cs="Arial"/>
          <w:b/>
          <w:bCs/>
        </w:rPr>
        <w:t>13</w:t>
      </w:r>
      <w:r w:rsidRPr="00353295">
        <w:rPr>
          <w:rFonts w:ascii="Arial" w:hAnsi="Arial" w:cs="Arial"/>
        </w:rPr>
        <w:t>).</w:t>
      </w:r>
    </w:p>
    <w:p w14:paraId="7101BE0A" w14:textId="77777777" w:rsidR="00D135B0" w:rsidRPr="00353295" w:rsidRDefault="00D135B0" w:rsidP="00D135B0">
      <w:pPr>
        <w:pStyle w:val="NoSpacing"/>
        <w:numPr>
          <w:ilvl w:val="0"/>
          <w:numId w:val="16"/>
        </w:numPr>
        <w:rPr>
          <w:rFonts w:ascii="Arial" w:hAnsi="Arial" w:cs="Arial"/>
        </w:rPr>
      </w:pPr>
      <w:r w:rsidRPr="00353295">
        <w:rPr>
          <w:rFonts w:ascii="Arial" w:hAnsi="Arial" w:cs="Arial"/>
        </w:rPr>
        <w:t xml:space="preserve">In terms of sectors, 6,400 employees (22.9%) work within the public sector, proportionately higher than the Kent average of 19.6%.  </w:t>
      </w:r>
    </w:p>
    <w:p w14:paraId="6AE470EE" w14:textId="77777777" w:rsidR="00D135B0" w:rsidRDefault="00D135B0" w:rsidP="00D135B0">
      <w:pPr>
        <w:pStyle w:val="NoSpacing"/>
        <w:numPr>
          <w:ilvl w:val="0"/>
          <w:numId w:val="16"/>
        </w:numPr>
        <w:rPr>
          <w:rFonts w:ascii="Arial" w:hAnsi="Arial" w:cs="Arial"/>
        </w:rPr>
      </w:pPr>
      <w:r w:rsidRPr="00353295">
        <w:rPr>
          <w:rFonts w:ascii="Arial" w:hAnsi="Arial" w:cs="Arial"/>
        </w:rPr>
        <w:t xml:space="preserve">As a proportion of the overall types of business in the borough, Gravesham’s largest employment sectors are typically lower value in terms of productivity. The borough posts the highest percentage of businesses in Kent in the following sectors; Construction (23.2%) and Transport and Storage (9.9%) </w:t>
      </w:r>
      <w:r>
        <w:rPr>
          <w:rFonts w:ascii="Arial" w:hAnsi="Arial" w:cs="Arial"/>
        </w:rPr>
        <w:t>-</w:t>
      </w:r>
      <w:r w:rsidRPr="00353295">
        <w:rPr>
          <w:rFonts w:ascii="Arial" w:hAnsi="Arial" w:cs="Arial"/>
        </w:rPr>
        <w:t xml:space="preserve"> both within the highest 25 authorities nationally (</w:t>
      </w:r>
      <w:r w:rsidRPr="001C20ED">
        <w:rPr>
          <w:rFonts w:ascii="Arial" w:hAnsi="Arial" w:cs="Arial"/>
          <w:b/>
          <w:bCs/>
        </w:rPr>
        <w:t xml:space="preserve">Table </w:t>
      </w:r>
      <w:r>
        <w:rPr>
          <w:rFonts w:ascii="Arial" w:hAnsi="Arial" w:cs="Arial"/>
          <w:b/>
          <w:bCs/>
        </w:rPr>
        <w:t>14</w:t>
      </w:r>
      <w:r w:rsidRPr="00353295">
        <w:rPr>
          <w:rFonts w:ascii="Arial" w:hAnsi="Arial" w:cs="Arial"/>
        </w:rPr>
        <w:t>).</w:t>
      </w:r>
    </w:p>
    <w:p w14:paraId="58CD387F" w14:textId="77777777" w:rsidR="00D135B0" w:rsidRDefault="00D135B0" w:rsidP="00D135B0">
      <w:pPr>
        <w:pStyle w:val="NoSpacing"/>
        <w:numPr>
          <w:ilvl w:val="0"/>
          <w:numId w:val="16"/>
        </w:numPr>
        <w:rPr>
          <w:rFonts w:ascii="Arial" w:hAnsi="Arial" w:cs="Arial"/>
        </w:rPr>
      </w:pPr>
      <w:r w:rsidRPr="00353295">
        <w:rPr>
          <w:rFonts w:ascii="Arial" w:hAnsi="Arial" w:cs="Arial"/>
        </w:rPr>
        <w:t xml:space="preserve">Conversely, the </w:t>
      </w:r>
      <w:r>
        <w:rPr>
          <w:rFonts w:ascii="Arial" w:hAnsi="Arial" w:cs="Arial"/>
        </w:rPr>
        <w:t>‘</w:t>
      </w:r>
      <w:r w:rsidRPr="00353295">
        <w:rPr>
          <w:rFonts w:ascii="Arial" w:hAnsi="Arial" w:cs="Arial"/>
        </w:rPr>
        <w:t>knowledge economy</w:t>
      </w:r>
      <w:r>
        <w:rPr>
          <w:rFonts w:ascii="Arial" w:hAnsi="Arial" w:cs="Arial"/>
        </w:rPr>
        <w:t>’</w:t>
      </w:r>
      <w:r w:rsidRPr="00353295">
        <w:rPr>
          <w:rFonts w:ascii="Arial" w:hAnsi="Arial" w:cs="Arial"/>
        </w:rPr>
        <w:t xml:space="preserve"> (Publishing, Scientific Research and Development and Higher Education) - seen as a key driver for economic growth </w:t>
      </w:r>
      <w:r>
        <w:rPr>
          <w:rFonts w:ascii="Arial" w:hAnsi="Arial" w:cs="Arial"/>
        </w:rPr>
        <w:t>-</w:t>
      </w:r>
      <w:r w:rsidRPr="00353295">
        <w:rPr>
          <w:rFonts w:ascii="Arial" w:hAnsi="Arial" w:cs="Arial"/>
        </w:rPr>
        <w:t xml:space="preserve"> sees Gravesham record the lowest proportion of employees in Kent at 7.2% of all employees, within the lowest 20% nationally. </w:t>
      </w:r>
    </w:p>
    <w:p w14:paraId="53FD387A" w14:textId="77777777" w:rsidR="00D135B0" w:rsidRDefault="00D135B0" w:rsidP="00D135B0">
      <w:pPr>
        <w:pStyle w:val="NoSpacing"/>
        <w:numPr>
          <w:ilvl w:val="0"/>
          <w:numId w:val="16"/>
        </w:numPr>
        <w:rPr>
          <w:rFonts w:ascii="Arial" w:hAnsi="Arial" w:cs="Arial"/>
        </w:rPr>
      </w:pPr>
      <w:r w:rsidRPr="00353295">
        <w:rPr>
          <w:rFonts w:ascii="Arial" w:hAnsi="Arial" w:cs="Arial"/>
        </w:rPr>
        <w:t>575 new companies were registered in the borough in 2022, with 580 companies dissolved during the same year. This represents a growth ratio of 0.99 enterprise ‘births’ to ‘</w:t>
      </w:r>
      <w:proofErr w:type="gramStart"/>
      <w:r w:rsidRPr="00353295">
        <w:rPr>
          <w:rFonts w:ascii="Arial" w:hAnsi="Arial" w:cs="Arial"/>
        </w:rPr>
        <w:t>deaths’</w:t>
      </w:r>
      <w:proofErr w:type="gramEnd"/>
      <w:r w:rsidRPr="00353295">
        <w:rPr>
          <w:rFonts w:ascii="Arial" w:hAnsi="Arial" w:cs="Arial"/>
        </w:rPr>
        <w:t xml:space="preserve">. The previous 5-year period had seen an average 1.14 growth ratio. </w:t>
      </w:r>
    </w:p>
    <w:p w14:paraId="346C8014" w14:textId="77777777" w:rsidR="00D135B0" w:rsidRDefault="00D135B0" w:rsidP="00D135B0">
      <w:pPr>
        <w:pStyle w:val="NoSpacing"/>
        <w:numPr>
          <w:ilvl w:val="0"/>
          <w:numId w:val="16"/>
        </w:numPr>
        <w:rPr>
          <w:rFonts w:ascii="Arial" w:hAnsi="Arial" w:cs="Arial"/>
        </w:rPr>
      </w:pPr>
      <w:r w:rsidRPr="00353295">
        <w:rPr>
          <w:rFonts w:ascii="Arial" w:hAnsi="Arial" w:cs="Arial"/>
        </w:rPr>
        <w:t>In terms of sustainability, Gravesham’s businesses have lower rates of survival across the short, medium, and long term. In 2022 Gravesham presented a figure of 39.8% for businesses surviving 5 years or more, the lowest rate in Kent (</w:t>
      </w:r>
      <w:r w:rsidRPr="001C20ED">
        <w:rPr>
          <w:rFonts w:ascii="Arial" w:hAnsi="Arial" w:cs="Arial"/>
          <w:b/>
          <w:bCs/>
        </w:rPr>
        <w:t xml:space="preserve">Table </w:t>
      </w:r>
      <w:r>
        <w:rPr>
          <w:rFonts w:ascii="Arial" w:hAnsi="Arial" w:cs="Arial"/>
          <w:b/>
          <w:bCs/>
        </w:rPr>
        <w:t>15</w:t>
      </w:r>
      <w:r w:rsidRPr="00353295">
        <w:rPr>
          <w:rFonts w:ascii="Arial" w:hAnsi="Arial" w:cs="Arial"/>
        </w:rPr>
        <w:t>).</w:t>
      </w:r>
    </w:p>
    <w:p w14:paraId="417A5E5A" w14:textId="77777777" w:rsidR="00D135B0" w:rsidRDefault="00D135B0" w:rsidP="00D135B0">
      <w:pPr>
        <w:pStyle w:val="NoSpacing"/>
        <w:numPr>
          <w:ilvl w:val="0"/>
          <w:numId w:val="16"/>
        </w:numPr>
        <w:rPr>
          <w:rFonts w:ascii="Arial" w:hAnsi="Arial" w:cs="Arial"/>
        </w:rPr>
      </w:pPr>
      <w:r w:rsidRPr="00353295">
        <w:rPr>
          <w:rFonts w:ascii="Arial" w:hAnsi="Arial" w:cs="Arial"/>
        </w:rPr>
        <w:t>Business data in 2022 identified that 20 Gravesham enterprises are classed as high growth – defined as those companies with ten or more employees which has seen at least 20% employee growth each year for the previous three-year period.</w:t>
      </w:r>
    </w:p>
    <w:p w14:paraId="0E82696E" w14:textId="77777777" w:rsidR="00D135B0" w:rsidRPr="00353295" w:rsidRDefault="00D135B0" w:rsidP="00D135B0">
      <w:pPr>
        <w:pStyle w:val="NoSpacing"/>
        <w:numPr>
          <w:ilvl w:val="0"/>
          <w:numId w:val="16"/>
        </w:numPr>
        <w:rPr>
          <w:rFonts w:ascii="Arial" w:hAnsi="Arial" w:cs="Arial"/>
        </w:rPr>
      </w:pPr>
      <w:r w:rsidRPr="00353295">
        <w:rPr>
          <w:rFonts w:ascii="Arial" w:hAnsi="Arial" w:cs="Arial"/>
        </w:rPr>
        <w:t>A slightly higher proportion of Gravesham’s businesses are micro businesses (employ up to 9 people) compared to Kent</w:t>
      </w:r>
      <w:r>
        <w:rPr>
          <w:rFonts w:ascii="Arial" w:hAnsi="Arial" w:cs="Arial"/>
        </w:rPr>
        <w:t>, regional</w:t>
      </w:r>
      <w:r w:rsidRPr="00353295">
        <w:rPr>
          <w:rFonts w:ascii="Arial" w:hAnsi="Arial" w:cs="Arial"/>
        </w:rPr>
        <w:t xml:space="preserve"> and national averages. Resultantly, small, medium, and large businesses account for a comparatively lower proportion of total businesses. In 2023, 3,685 (90.8%) of Gravesham enterprises employed less than 10 people. Conversely, 10 (0.2%) enterprises in the borough were recorded as having over 250 employees (</w:t>
      </w:r>
      <w:r w:rsidRPr="00353295">
        <w:rPr>
          <w:rFonts w:ascii="Arial" w:hAnsi="Arial" w:cs="Arial"/>
          <w:b/>
          <w:bCs/>
        </w:rPr>
        <w:t xml:space="preserve">Table </w:t>
      </w:r>
      <w:r>
        <w:rPr>
          <w:rFonts w:ascii="Arial" w:hAnsi="Arial" w:cs="Arial"/>
          <w:b/>
          <w:bCs/>
        </w:rPr>
        <w:t>16</w:t>
      </w:r>
      <w:r w:rsidRPr="00353295">
        <w:rPr>
          <w:rFonts w:ascii="Arial" w:hAnsi="Arial" w:cs="Arial"/>
        </w:rPr>
        <w:t>).</w:t>
      </w:r>
    </w:p>
    <w:p w14:paraId="79EA26D0" w14:textId="77777777" w:rsidR="00D135B0" w:rsidRDefault="00D135B0" w:rsidP="00D135B0">
      <w:pPr>
        <w:pStyle w:val="NoSpacing"/>
        <w:rPr>
          <w:rFonts w:ascii="Arial" w:hAnsi="Arial" w:cs="Arial"/>
          <w:color w:val="365F91" w:themeColor="accent1" w:themeShade="BF"/>
          <w:sz w:val="24"/>
          <w:szCs w:val="24"/>
        </w:rPr>
      </w:pPr>
    </w:p>
    <w:p w14:paraId="79FC2042" w14:textId="77777777" w:rsidR="00D135B0" w:rsidRDefault="00D135B0" w:rsidP="00D135B0">
      <w:pPr>
        <w:pStyle w:val="NoSpacing"/>
        <w:rPr>
          <w:rFonts w:ascii="Arial" w:hAnsi="Arial" w:cs="Arial"/>
          <w:color w:val="365F91" w:themeColor="accent1" w:themeShade="BF"/>
          <w:sz w:val="24"/>
          <w:szCs w:val="24"/>
        </w:rPr>
      </w:pPr>
    </w:p>
    <w:p w14:paraId="4F4CFF52" w14:textId="26DFFD10" w:rsidR="00D135B0" w:rsidRPr="00353295" w:rsidRDefault="00D135B0" w:rsidP="00D135B0">
      <w:pPr>
        <w:pStyle w:val="NoSpacing"/>
        <w:rPr>
          <w:rFonts w:ascii="Arial" w:hAnsi="Arial" w:cs="Arial"/>
          <w:color w:val="365F91" w:themeColor="accent1" w:themeShade="BF"/>
          <w:sz w:val="24"/>
          <w:szCs w:val="24"/>
        </w:rPr>
      </w:pPr>
      <w:r w:rsidRPr="00353295">
        <w:rPr>
          <w:rFonts w:ascii="Arial" w:hAnsi="Arial" w:cs="Arial"/>
          <w:color w:val="365F91" w:themeColor="accent1" w:themeShade="BF"/>
          <w:sz w:val="24"/>
          <w:szCs w:val="24"/>
        </w:rPr>
        <w:lastRenderedPageBreak/>
        <w:t>Productivity</w:t>
      </w:r>
    </w:p>
    <w:p w14:paraId="57EBCE92" w14:textId="77777777" w:rsidR="00D135B0" w:rsidRPr="00353295" w:rsidRDefault="00D135B0" w:rsidP="00D135B0">
      <w:pPr>
        <w:pStyle w:val="NoSpacing"/>
        <w:rPr>
          <w:rFonts w:ascii="Arial" w:hAnsi="Arial" w:cs="Arial"/>
        </w:rPr>
      </w:pPr>
    </w:p>
    <w:p w14:paraId="0C609274" w14:textId="77777777" w:rsidR="00D135B0" w:rsidRPr="001C2218" w:rsidRDefault="00D135B0" w:rsidP="00D135B0">
      <w:pPr>
        <w:pStyle w:val="NoSpacing"/>
        <w:numPr>
          <w:ilvl w:val="0"/>
          <w:numId w:val="17"/>
        </w:numPr>
        <w:rPr>
          <w:rFonts w:ascii="Arial" w:hAnsi="Arial" w:cs="Arial"/>
        </w:rPr>
      </w:pPr>
      <w:r w:rsidRPr="00860C53">
        <w:rPr>
          <w:rFonts w:ascii="Arial" w:hAnsi="Arial" w:cs="Arial"/>
        </w:rPr>
        <w:t xml:space="preserve">Gross Value Added (GVA) is the traditional measure for the overall economic well-being of an area. Latest data for the </w:t>
      </w:r>
      <w:r>
        <w:rPr>
          <w:rFonts w:ascii="Arial" w:hAnsi="Arial" w:cs="Arial"/>
        </w:rPr>
        <w:t xml:space="preserve">total </w:t>
      </w:r>
      <w:r w:rsidRPr="00860C53">
        <w:rPr>
          <w:rFonts w:ascii="Arial" w:hAnsi="Arial" w:cs="Arial"/>
        </w:rPr>
        <w:t xml:space="preserve">GVA in Gravesham indicates £1,825 million generated, the smallest total in Kent. Proportionately this equates to £17,800 per head of population, the 2nd lowest figure in Kent and amongst the lowest 20% in the </w:t>
      </w:r>
      <w:proofErr w:type="gramStart"/>
      <w:r w:rsidRPr="00860C53">
        <w:rPr>
          <w:rFonts w:ascii="Arial" w:hAnsi="Arial" w:cs="Arial"/>
        </w:rPr>
        <w:t>south east</w:t>
      </w:r>
      <w:proofErr w:type="gramEnd"/>
      <w:r w:rsidRPr="00860C53">
        <w:rPr>
          <w:rFonts w:ascii="Arial" w:hAnsi="Arial" w:cs="Arial"/>
        </w:rPr>
        <w:t xml:space="preserve"> region. </w:t>
      </w:r>
      <w:r w:rsidRPr="001C2218">
        <w:rPr>
          <w:rFonts w:ascii="Arial" w:hAnsi="Arial" w:cs="Arial"/>
        </w:rPr>
        <w:t xml:space="preserve">Lower productivity is also </w:t>
      </w:r>
      <w:r>
        <w:rPr>
          <w:rFonts w:ascii="Arial" w:hAnsi="Arial" w:cs="Arial"/>
        </w:rPr>
        <w:t>demonstrated</w:t>
      </w:r>
      <w:r w:rsidRPr="001C2218">
        <w:rPr>
          <w:rFonts w:ascii="Arial" w:hAnsi="Arial" w:cs="Arial"/>
        </w:rPr>
        <w:t xml:space="preserve"> in the GVA generated per filled job, whereby in 2021 each job in Gravesham generated £51,626, also lower than all comparator areas. </w:t>
      </w:r>
    </w:p>
    <w:p w14:paraId="6FDF36B1" w14:textId="77777777" w:rsidR="00D135B0" w:rsidRPr="001C2218" w:rsidRDefault="00D135B0" w:rsidP="00D135B0">
      <w:pPr>
        <w:pStyle w:val="NoSpacing"/>
        <w:numPr>
          <w:ilvl w:val="0"/>
          <w:numId w:val="17"/>
        </w:numPr>
        <w:rPr>
          <w:rFonts w:ascii="Arial" w:hAnsi="Arial" w:cs="Arial"/>
        </w:rPr>
      </w:pPr>
      <w:r>
        <w:rPr>
          <w:rFonts w:ascii="Arial" w:hAnsi="Arial" w:cs="Arial"/>
        </w:rPr>
        <w:t xml:space="preserve">The ideal model </w:t>
      </w:r>
      <w:r w:rsidRPr="00B43083">
        <w:rPr>
          <w:rFonts w:ascii="Arial" w:hAnsi="Arial" w:cs="Arial"/>
        </w:rPr>
        <w:t xml:space="preserve">indicator of labour productivity </w:t>
      </w:r>
      <w:r>
        <w:rPr>
          <w:rFonts w:ascii="Arial" w:hAnsi="Arial" w:cs="Arial"/>
        </w:rPr>
        <w:t xml:space="preserve">is considered to be </w:t>
      </w:r>
      <w:r w:rsidRPr="00B43083">
        <w:rPr>
          <w:rFonts w:ascii="Arial" w:hAnsi="Arial" w:cs="Arial"/>
        </w:rPr>
        <w:t>GVA per hour worked</w:t>
      </w:r>
      <w:r>
        <w:rPr>
          <w:rFonts w:ascii="Arial" w:hAnsi="Arial" w:cs="Arial"/>
        </w:rPr>
        <w:t xml:space="preserve">, </w:t>
      </w:r>
      <w:r w:rsidRPr="00B43083">
        <w:rPr>
          <w:rFonts w:ascii="Arial" w:hAnsi="Arial" w:cs="Arial"/>
        </w:rPr>
        <w:t xml:space="preserve">the </w:t>
      </w:r>
      <w:r>
        <w:rPr>
          <w:rFonts w:ascii="Arial" w:hAnsi="Arial" w:cs="Arial"/>
        </w:rPr>
        <w:t xml:space="preserve">ONS’ </w:t>
      </w:r>
      <w:r w:rsidRPr="00B43083">
        <w:rPr>
          <w:rFonts w:ascii="Arial" w:hAnsi="Arial" w:cs="Arial"/>
        </w:rPr>
        <w:t xml:space="preserve">preferred measure at subnational level. </w:t>
      </w:r>
      <w:r>
        <w:rPr>
          <w:rFonts w:ascii="Arial" w:hAnsi="Arial" w:cs="Arial"/>
        </w:rPr>
        <w:t>I</w:t>
      </w:r>
      <w:r w:rsidRPr="00B43083">
        <w:rPr>
          <w:rFonts w:ascii="Arial" w:hAnsi="Arial" w:cs="Arial"/>
        </w:rPr>
        <w:t xml:space="preserve">n 2021 </w:t>
      </w:r>
      <w:r w:rsidRPr="001C2218">
        <w:rPr>
          <w:rFonts w:ascii="Arial" w:hAnsi="Arial" w:cs="Arial"/>
        </w:rPr>
        <w:t>Gravesham presented a figure of £35.70 per hour, the seventh highest in Kent and below the Kent average (£36.60).</w:t>
      </w:r>
    </w:p>
    <w:p w14:paraId="61421A3C" w14:textId="77777777" w:rsidR="00D135B0" w:rsidRPr="001C2218" w:rsidRDefault="00D135B0" w:rsidP="00D135B0">
      <w:pPr>
        <w:pStyle w:val="NoSpacing"/>
        <w:numPr>
          <w:ilvl w:val="0"/>
          <w:numId w:val="17"/>
        </w:numPr>
        <w:rPr>
          <w:rFonts w:ascii="Arial" w:hAnsi="Arial" w:cs="Arial"/>
        </w:rPr>
      </w:pPr>
      <w:r>
        <w:rPr>
          <w:rFonts w:ascii="Arial" w:hAnsi="Arial" w:cs="Arial"/>
        </w:rPr>
        <w:t xml:space="preserve">Across the GVA suite, </w:t>
      </w:r>
      <w:r w:rsidRPr="001C2218">
        <w:rPr>
          <w:rFonts w:ascii="Arial" w:hAnsi="Arial" w:cs="Arial"/>
        </w:rPr>
        <w:t>Gravesham’s productivity outturns are reflective of direct challenges presented via the local industrial sector mix</w:t>
      </w:r>
      <w:r>
        <w:rPr>
          <w:rFonts w:ascii="Arial" w:hAnsi="Arial" w:cs="Arial"/>
        </w:rPr>
        <w:t>,</w:t>
      </w:r>
      <w:r w:rsidRPr="001C2218">
        <w:rPr>
          <w:rFonts w:ascii="Arial" w:hAnsi="Arial" w:cs="Arial"/>
        </w:rPr>
        <w:t xml:space="preserve"> and </w:t>
      </w:r>
      <w:r>
        <w:rPr>
          <w:rFonts w:ascii="Arial" w:hAnsi="Arial" w:cs="Arial"/>
        </w:rPr>
        <w:t>its</w:t>
      </w:r>
      <w:r w:rsidRPr="001C2218">
        <w:rPr>
          <w:rFonts w:ascii="Arial" w:hAnsi="Arial" w:cs="Arial"/>
        </w:rPr>
        <w:t xml:space="preserve"> </w:t>
      </w:r>
      <w:r>
        <w:rPr>
          <w:rFonts w:ascii="Arial" w:hAnsi="Arial" w:cs="Arial"/>
        </w:rPr>
        <w:t xml:space="preserve">ability to </w:t>
      </w:r>
      <w:r w:rsidRPr="001C2218">
        <w:rPr>
          <w:rFonts w:ascii="Arial" w:hAnsi="Arial" w:cs="Arial"/>
        </w:rPr>
        <w:t xml:space="preserve">deliver higher value jobs, and </w:t>
      </w:r>
      <w:r>
        <w:rPr>
          <w:rFonts w:ascii="Arial" w:hAnsi="Arial" w:cs="Arial"/>
        </w:rPr>
        <w:t xml:space="preserve">also local </w:t>
      </w:r>
      <w:r w:rsidRPr="001C2218">
        <w:rPr>
          <w:rFonts w:ascii="Arial" w:hAnsi="Arial" w:cs="Arial"/>
        </w:rPr>
        <w:t xml:space="preserve">job density whereby Gravesham, at 0.57, has the lowest available jobs per working age resident. </w:t>
      </w:r>
      <w:r>
        <w:rPr>
          <w:rFonts w:ascii="Arial" w:hAnsi="Arial" w:cs="Arial"/>
        </w:rPr>
        <w:t>More broadly, the current position i</w:t>
      </w:r>
      <w:r w:rsidRPr="001C2218">
        <w:rPr>
          <w:rFonts w:ascii="Arial" w:hAnsi="Arial" w:cs="Arial"/>
        </w:rPr>
        <w:t xml:space="preserve">s also a reflection of the nature of the Gravesham’s proximity to London and outward commuting trends, with much </w:t>
      </w:r>
      <w:r>
        <w:rPr>
          <w:rFonts w:ascii="Arial" w:hAnsi="Arial" w:cs="Arial"/>
        </w:rPr>
        <w:t xml:space="preserve">resident </w:t>
      </w:r>
      <w:r w:rsidRPr="001C2218">
        <w:rPr>
          <w:rFonts w:ascii="Arial" w:hAnsi="Arial" w:cs="Arial"/>
        </w:rPr>
        <w:t>productivity taking place in other areas (</w:t>
      </w:r>
      <w:r w:rsidRPr="001C2218">
        <w:rPr>
          <w:rFonts w:ascii="Arial" w:hAnsi="Arial" w:cs="Arial"/>
          <w:b/>
          <w:bCs/>
        </w:rPr>
        <w:t>Table 17</w:t>
      </w:r>
      <w:r w:rsidRPr="001C2218">
        <w:rPr>
          <w:rFonts w:ascii="Arial" w:hAnsi="Arial" w:cs="Arial"/>
        </w:rPr>
        <w:t xml:space="preserve">).  </w:t>
      </w:r>
    </w:p>
    <w:p w14:paraId="3FF56C67" w14:textId="77777777" w:rsidR="00D135B0" w:rsidRPr="00B43083" w:rsidRDefault="00D135B0" w:rsidP="00D135B0">
      <w:pPr>
        <w:pStyle w:val="NoSpacing"/>
        <w:numPr>
          <w:ilvl w:val="0"/>
          <w:numId w:val="17"/>
        </w:numPr>
        <w:rPr>
          <w:rFonts w:ascii="Arial" w:hAnsi="Arial" w:cs="Arial"/>
        </w:rPr>
      </w:pPr>
      <w:r w:rsidRPr="00B43083">
        <w:rPr>
          <w:rFonts w:ascii="Arial" w:hAnsi="Arial" w:cs="Arial"/>
        </w:rPr>
        <w:t>Alongside GVA, the health and productivity of a local economy can be demonstrated by turnover data. In 2023, Gravesham saw 37.2% of its businesses record a turnover of less than £100,000, ahead of Kent</w:t>
      </w:r>
      <w:r>
        <w:rPr>
          <w:rFonts w:ascii="Arial" w:hAnsi="Arial" w:cs="Arial"/>
        </w:rPr>
        <w:t>, regional</w:t>
      </w:r>
      <w:r w:rsidRPr="00B43083">
        <w:rPr>
          <w:rFonts w:ascii="Arial" w:hAnsi="Arial" w:cs="Arial"/>
        </w:rPr>
        <w:t xml:space="preserve"> and national averages. Conversely, only 0.6% of companies recorded a figure of £10 million or over, below county</w:t>
      </w:r>
      <w:r>
        <w:rPr>
          <w:rFonts w:ascii="Arial" w:hAnsi="Arial" w:cs="Arial"/>
        </w:rPr>
        <w:t>, regional</w:t>
      </w:r>
      <w:r w:rsidRPr="00B43083">
        <w:rPr>
          <w:rFonts w:ascii="Arial" w:hAnsi="Arial" w:cs="Arial"/>
        </w:rPr>
        <w:t xml:space="preserve"> and national equivalents. This may well be reflective of the nature of the local business sector mix and the size of enterprises in the borough (</w:t>
      </w:r>
      <w:r w:rsidRPr="00B43083">
        <w:rPr>
          <w:rFonts w:ascii="Arial" w:hAnsi="Arial" w:cs="Arial"/>
          <w:b/>
          <w:bCs/>
        </w:rPr>
        <w:t>Table 18</w:t>
      </w:r>
      <w:r w:rsidRPr="00B43083">
        <w:rPr>
          <w:rFonts w:ascii="Arial" w:hAnsi="Arial" w:cs="Arial"/>
        </w:rPr>
        <w:t xml:space="preserve">). </w:t>
      </w:r>
    </w:p>
    <w:p w14:paraId="454C87E1" w14:textId="77777777" w:rsidR="00D135B0" w:rsidRPr="0035477F" w:rsidRDefault="00D135B0" w:rsidP="00D135B0">
      <w:pPr>
        <w:pStyle w:val="NoSpacing"/>
        <w:rPr>
          <w:rFonts w:ascii="Arial" w:hAnsi="Arial" w:cs="Arial"/>
        </w:rPr>
      </w:pPr>
    </w:p>
    <w:p w14:paraId="2405A220" w14:textId="77777777" w:rsidR="00D135B0" w:rsidRPr="0035477F" w:rsidRDefault="00D135B0" w:rsidP="00D135B0">
      <w:pPr>
        <w:pStyle w:val="NoSpacing"/>
        <w:rPr>
          <w:rFonts w:ascii="Arial" w:hAnsi="Arial" w:cs="Arial"/>
          <w:color w:val="365F91" w:themeColor="accent1" w:themeShade="BF"/>
          <w:sz w:val="24"/>
          <w:szCs w:val="24"/>
        </w:rPr>
      </w:pPr>
      <w:r w:rsidRPr="0035477F">
        <w:rPr>
          <w:rFonts w:ascii="Arial" w:hAnsi="Arial" w:cs="Arial"/>
          <w:color w:val="365F91" w:themeColor="accent1" w:themeShade="BF"/>
          <w:sz w:val="24"/>
          <w:szCs w:val="24"/>
        </w:rPr>
        <w:t>Activity</w:t>
      </w:r>
    </w:p>
    <w:p w14:paraId="072961DF" w14:textId="77777777" w:rsidR="00D135B0" w:rsidRDefault="00D135B0" w:rsidP="00D135B0">
      <w:pPr>
        <w:pStyle w:val="NoSpacing"/>
        <w:rPr>
          <w:rFonts w:ascii="Arial" w:eastAsia="Times New Roman" w:hAnsi="Arial" w:cs="Arial"/>
          <w:color w:val="000000"/>
          <w:lang w:eastAsia="en-GB"/>
        </w:rPr>
      </w:pPr>
    </w:p>
    <w:p w14:paraId="599C5CFC" w14:textId="77777777" w:rsidR="00D135B0" w:rsidRDefault="00D135B0" w:rsidP="00D135B0">
      <w:pPr>
        <w:pStyle w:val="NoSpacing"/>
        <w:numPr>
          <w:ilvl w:val="0"/>
          <w:numId w:val="18"/>
        </w:numPr>
        <w:rPr>
          <w:rFonts w:ascii="Arial" w:eastAsia="Times New Roman" w:hAnsi="Arial" w:cs="Arial"/>
          <w:color w:val="000000"/>
          <w:lang w:eastAsia="en-GB"/>
        </w:rPr>
      </w:pPr>
      <w:r w:rsidRPr="0035477F">
        <w:rPr>
          <w:rFonts w:ascii="Arial" w:eastAsia="Times New Roman" w:hAnsi="Arial" w:cs="Arial"/>
          <w:color w:val="000000"/>
          <w:lang w:eastAsia="en-GB"/>
        </w:rPr>
        <w:t xml:space="preserve">Economic activity in the borough has fluctuated significantly in recent years. From a low of 69.6 in December 2016, a 20-year high of 90.1% of 16-64 years olds were economically active in the year to June 2023, significantly higher than Kent (79.2%), </w:t>
      </w:r>
      <w:r>
        <w:rPr>
          <w:rFonts w:ascii="Arial" w:eastAsia="Times New Roman" w:hAnsi="Arial" w:cs="Arial"/>
          <w:color w:val="000000"/>
          <w:lang w:eastAsia="en-GB"/>
        </w:rPr>
        <w:t>regional</w:t>
      </w:r>
      <w:r w:rsidRPr="0035477F">
        <w:rPr>
          <w:rFonts w:ascii="Arial" w:eastAsia="Times New Roman" w:hAnsi="Arial" w:cs="Arial"/>
          <w:color w:val="000000"/>
          <w:lang w:eastAsia="en-GB"/>
        </w:rPr>
        <w:t xml:space="preserve"> (81.2%) and national (78.6%) positions. </w:t>
      </w:r>
    </w:p>
    <w:p w14:paraId="5EA8197E" w14:textId="77777777" w:rsidR="00D135B0" w:rsidRDefault="00D135B0" w:rsidP="00D135B0">
      <w:pPr>
        <w:pStyle w:val="NoSpacing"/>
        <w:numPr>
          <w:ilvl w:val="0"/>
          <w:numId w:val="18"/>
        </w:numPr>
        <w:rPr>
          <w:rFonts w:ascii="Arial" w:eastAsia="Times New Roman" w:hAnsi="Arial" w:cs="Arial"/>
          <w:color w:val="000000"/>
          <w:lang w:eastAsia="en-GB"/>
        </w:rPr>
      </w:pPr>
      <w:r w:rsidRPr="0035477F">
        <w:rPr>
          <w:rFonts w:ascii="Arial" w:eastAsia="Times New Roman" w:hAnsi="Arial" w:cs="Arial"/>
          <w:color w:val="000000"/>
          <w:lang w:eastAsia="en-GB"/>
        </w:rPr>
        <w:t xml:space="preserve">As activity has varied, so too has inactivity, with the latest data for October 2023 presenting that Gravesham has the second highest rate of people claiming unemployment benefits (JSA or Universal Credit) at 4.3%, ahead of the county (3.3%) </w:t>
      </w:r>
      <w:r w:rsidRPr="001C20ED">
        <w:rPr>
          <w:rFonts w:ascii="Arial" w:eastAsia="Times New Roman" w:hAnsi="Arial" w:cs="Arial"/>
          <w:color w:val="000000"/>
          <w:lang w:eastAsia="en-GB"/>
        </w:rPr>
        <w:t xml:space="preserve">average </w:t>
      </w:r>
      <w:r w:rsidRPr="001C20ED">
        <w:rPr>
          <w:rFonts w:ascii="Arial" w:hAnsi="Arial" w:cs="Arial"/>
        </w:rPr>
        <w:t>(</w:t>
      </w:r>
      <w:r w:rsidRPr="001C20ED">
        <w:rPr>
          <w:rFonts w:ascii="Arial" w:hAnsi="Arial" w:cs="Arial"/>
          <w:b/>
          <w:bCs/>
        </w:rPr>
        <w:t>Table 19</w:t>
      </w:r>
      <w:r w:rsidRPr="001C20ED">
        <w:rPr>
          <w:rFonts w:ascii="Arial" w:hAnsi="Arial" w:cs="Arial"/>
        </w:rPr>
        <w:t>).</w:t>
      </w:r>
    </w:p>
    <w:p w14:paraId="71E6F0D4" w14:textId="77777777" w:rsidR="00D135B0" w:rsidRDefault="00D135B0" w:rsidP="00D135B0">
      <w:pPr>
        <w:pStyle w:val="NoSpacing"/>
        <w:numPr>
          <w:ilvl w:val="0"/>
          <w:numId w:val="18"/>
        </w:numPr>
        <w:rPr>
          <w:rFonts w:ascii="Arial" w:eastAsia="Times New Roman" w:hAnsi="Arial" w:cs="Arial"/>
          <w:color w:val="000000"/>
          <w:lang w:eastAsia="en-GB"/>
        </w:rPr>
      </w:pPr>
      <w:r w:rsidRPr="0035477F">
        <w:rPr>
          <w:rFonts w:ascii="Arial" w:eastAsia="Times New Roman" w:hAnsi="Arial" w:cs="Arial"/>
          <w:color w:val="000000"/>
          <w:lang w:eastAsia="en-GB"/>
        </w:rPr>
        <w:t xml:space="preserve">In line with most other Kent districts the largest level of unemployment in terms of population age groups in Gravesham is found amongst those aged 18-24 with 6.6% unemployed as </w:t>
      </w:r>
      <w:proofErr w:type="gramStart"/>
      <w:r w:rsidRPr="0035477F">
        <w:rPr>
          <w:rFonts w:ascii="Arial" w:eastAsia="Times New Roman" w:hAnsi="Arial" w:cs="Arial"/>
          <w:color w:val="000000"/>
          <w:lang w:eastAsia="en-GB"/>
        </w:rPr>
        <w:t>at</w:t>
      </w:r>
      <w:proofErr w:type="gramEnd"/>
      <w:r w:rsidRPr="0035477F">
        <w:rPr>
          <w:rFonts w:ascii="Arial" w:eastAsia="Times New Roman" w:hAnsi="Arial" w:cs="Arial"/>
          <w:color w:val="000000"/>
          <w:lang w:eastAsia="en-GB"/>
        </w:rPr>
        <w:t xml:space="preserve"> October 2023, the fourth highest rate in Kent and ahead of the county average (5.2%).</w:t>
      </w:r>
    </w:p>
    <w:p w14:paraId="43B1F119" w14:textId="77777777" w:rsidR="00D135B0" w:rsidRDefault="00D135B0" w:rsidP="00D135B0">
      <w:pPr>
        <w:pStyle w:val="NoSpacing"/>
        <w:numPr>
          <w:ilvl w:val="0"/>
          <w:numId w:val="18"/>
        </w:numPr>
        <w:rPr>
          <w:rFonts w:ascii="Arial" w:eastAsia="Times New Roman" w:hAnsi="Arial" w:cs="Arial"/>
          <w:color w:val="000000"/>
          <w:lang w:eastAsia="en-GB"/>
        </w:rPr>
      </w:pPr>
      <w:r w:rsidRPr="0035477F">
        <w:rPr>
          <w:rFonts w:ascii="Arial" w:eastAsia="Times New Roman" w:hAnsi="Arial" w:cs="Arial"/>
          <w:color w:val="000000"/>
          <w:lang w:eastAsia="en-GB"/>
        </w:rPr>
        <w:t xml:space="preserve">The three core disability related benefits are: Disability Living Allowance or Personal Independence Payment and Attendance Allowance. As at the time drafting, Gravesham had 6.9% of its total population in receipt of a disability benefit, directly in line with the </w:t>
      </w:r>
      <w:r>
        <w:rPr>
          <w:rFonts w:ascii="Arial" w:eastAsia="Times New Roman" w:hAnsi="Arial" w:cs="Arial"/>
          <w:color w:val="000000"/>
          <w:lang w:eastAsia="en-GB"/>
        </w:rPr>
        <w:t>K</w:t>
      </w:r>
      <w:r w:rsidRPr="0035477F">
        <w:rPr>
          <w:rFonts w:ascii="Arial" w:eastAsia="Times New Roman" w:hAnsi="Arial" w:cs="Arial"/>
          <w:color w:val="000000"/>
          <w:lang w:eastAsia="en-GB"/>
        </w:rPr>
        <w:t>ent average. Equally, in terms of employment</w:t>
      </w:r>
      <w:r>
        <w:rPr>
          <w:rFonts w:ascii="Arial" w:eastAsia="Times New Roman" w:hAnsi="Arial" w:cs="Arial"/>
          <w:color w:val="000000"/>
          <w:lang w:eastAsia="en-GB"/>
        </w:rPr>
        <w:t>,</w:t>
      </w:r>
      <w:r w:rsidRPr="0035477F">
        <w:rPr>
          <w:rFonts w:ascii="Arial" w:eastAsia="Times New Roman" w:hAnsi="Arial" w:cs="Arial"/>
          <w:color w:val="000000"/>
          <w:lang w:eastAsia="en-GB"/>
        </w:rPr>
        <w:t xml:space="preserve"> Gravesham had the highest rate in Kent of residents with a disability in active employment (80.8%).</w:t>
      </w:r>
    </w:p>
    <w:p w14:paraId="1C7B1E22" w14:textId="00AA1DC9" w:rsidR="00D135B0" w:rsidRPr="00D135B0" w:rsidRDefault="00D135B0" w:rsidP="00D135B0">
      <w:pPr>
        <w:pStyle w:val="NoSpacing"/>
        <w:numPr>
          <w:ilvl w:val="0"/>
          <w:numId w:val="18"/>
        </w:numPr>
        <w:rPr>
          <w:rFonts w:ascii="Arial" w:eastAsia="Times New Roman" w:hAnsi="Arial" w:cs="Arial"/>
          <w:color w:val="000000"/>
          <w:lang w:eastAsia="en-GB"/>
        </w:rPr>
      </w:pPr>
      <w:r w:rsidRPr="0035477F">
        <w:rPr>
          <w:rFonts w:ascii="Arial" w:eastAsia="Times New Roman" w:hAnsi="Arial" w:cs="Arial"/>
          <w:color w:val="000000"/>
          <w:lang w:eastAsia="en-GB"/>
        </w:rPr>
        <w:t xml:space="preserve">The Annual Survey of Hours and Earnings presents that the average full-time weekly earnings for Gravesham residents was £660.90, representing the ninth highest figure across Kent districts and below the Kent district average (£669.30). In terms of workplace earnings for jobs located in the borough, Gravesham recorded the second highest full-time weekly earnings across Kent districts (£651.60), £47.90 higher than the </w:t>
      </w:r>
      <w:r w:rsidRPr="00782C72">
        <w:rPr>
          <w:rFonts w:ascii="Arial" w:eastAsia="Times New Roman" w:hAnsi="Arial" w:cs="Arial"/>
          <w:color w:val="000000"/>
          <w:lang w:eastAsia="en-GB"/>
        </w:rPr>
        <w:t xml:space="preserve">Kent average. The difference in the two figures reflects the nature of Gravesham’s proximity to London and outward commuting trends </w:t>
      </w:r>
      <w:r w:rsidRPr="00782C72">
        <w:rPr>
          <w:rFonts w:ascii="Arial" w:hAnsi="Arial" w:cs="Arial"/>
        </w:rPr>
        <w:t>(</w:t>
      </w:r>
      <w:r w:rsidRPr="00782C72">
        <w:rPr>
          <w:rFonts w:ascii="Arial" w:hAnsi="Arial" w:cs="Arial"/>
          <w:b/>
          <w:bCs/>
        </w:rPr>
        <w:t>Table 20</w:t>
      </w:r>
      <w:r w:rsidRPr="00782C72">
        <w:rPr>
          <w:rFonts w:ascii="Arial" w:hAnsi="Arial" w:cs="Arial"/>
        </w:rPr>
        <w:t>).</w:t>
      </w:r>
    </w:p>
    <w:p w14:paraId="70240832" w14:textId="77777777" w:rsidR="00D135B0" w:rsidRDefault="00D135B0" w:rsidP="00D135B0">
      <w:pPr>
        <w:pStyle w:val="NoSpacing"/>
        <w:rPr>
          <w:rFonts w:ascii="Arial" w:eastAsia="Arial" w:hAnsi="Arial" w:cs="Arial"/>
          <w:color w:val="365F91" w:themeColor="accent1" w:themeShade="BF"/>
          <w:sz w:val="26"/>
          <w:szCs w:val="26"/>
        </w:rPr>
      </w:pPr>
    </w:p>
    <w:p w14:paraId="1AEE9069" w14:textId="77777777" w:rsidR="00D135B0" w:rsidRDefault="00D135B0" w:rsidP="00D135B0">
      <w:pPr>
        <w:pStyle w:val="NoSpacing"/>
        <w:rPr>
          <w:rFonts w:ascii="Arial" w:eastAsia="Arial" w:hAnsi="Arial" w:cs="Arial"/>
          <w:color w:val="365F91" w:themeColor="accent1" w:themeShade="BF"/>
          <w:sz w:val="26"/>
          <w:szCs w:val="26"/>
        </w:rPr>
      </w:pPr>
    </w:p>
    <w:p w14:paraId="543A429B" w14:textId="315B6997" w:rsidR="00D135B0" w:rsidRPr="00874676" w:rsidRDefault="00D135B0" w:rsidP="00D135B0">
      <w:pPr>
        <w:pStyle w:val="NoSpacing"/>
        <w:rPr>
          <w:rFonts w:ascii="Arial" w:eastAsia="Arial" w:hAnsi="Arial" w:cs="Arial"/>
          <w:color w:val="365F91" w:themeColor="accent1" w:themeShade="BF"/>
          <w:sz w:val="26"/>
          <w:szCs w:val="26"/>
        </w:rPr>
      </w:pPr>
      <w:r>
        <w:rPr>
          <w:rFonts w:ascii="Arial" w:eastAsia="Arial" w:hAnsi="Arial" w:cs="Arial"/>
          <w:color w:val="365F91" w:themeColor="accent1" w:themeShade="BF"/>
          <w:sz w:val="26"/>
          <w:szCs w:val="26"/>
        </w:rPr>
        <w:lastRenderedPageBreak/>
        <w:t>8. Education</w:t>
      </w:r>
    </w:p>
    <w:p w14:paraId="5A1A1DBB" w14:textId="77777777" w:rsidR="00D135B0" w:rsidRPr="00874676" w:rsidRDefault="00D135B0" w:rsidP="00D135B0">
      <w:pPr>
        <w:pStyle w:val="NoSpacing"/>
      </w:pPr>
    </w:p>
    <w:p w14:paraId="36F37E94" w14:textId="77777777" w:rsidR="00D135B0" w:rsidRPr="00874676" w:rsidRDefault="00D135B0" w:rsidP="00D135B0">
      <w:pPr>
        <w:pStyle w:val="NoSpacing"/>
        <w:rPr>
          <w:rFonts w:ascii="Arial" w:hAnsi="Arial" w:cs="Arial"/>
          <w:color w:val="000000"/>
        </w:rPr>
      </w:pPr>
      <w:r w:rsidRPr="00874676">
        <w:rPr>
          <w:rFonts w:ascii="Arial" w:hAnsi="Arial" w:cs="Arial"/>
          <w:color w:val="000000"/>
        </w:rPr>
        <w:t>Gravesham has 39 schools covering all school-age pupils, ranging from community and voluntary aided, through to recently integrated academy schools. The borough has a strong profile of schools in terms of Ofsted rating</w:t>
      </w:r>
      <w:r>
        <w:rPr>
          <w:rFonts w:ascii="Arial" w:hAnsi="Arial" w:cs="Arial"/>
          <w:color w:val="000000"/>
        </w:rPr>
        <w:t>s</w:t>
      </w:r>
      <w:r w:rsidRPr="00874676">
        <w:rPr>
          <w:rFonts w:ascii="Arial" w:hAnsi="Arial" w:cs="Arial"/>
          <w:color w:val="000000"/>
        </w:rPr>
        <w:t xml:space="preserve">. </w:t>
      </w:r>
    </w:p>
    <w:p w14:paraId="364BBFF8" w14:textId="77777777" w:rsidR="00D135B0" w:rsidRPr="00874676" w:rsidRDefault="00D135B0" w:rsidP="00D135B0">
      <w:pPr>
        <w:pStyle w:val="NoSpacing"/>
        <w:rPr>
          <w:rFonts w:ascii="Arial" w:hAnsi="Arial" w:cs="Arial"/>
          <w:color w:val="000000"/>
        </w:rPr>
      </w:pPr>
    </w:p>
    <w:p w14:paraId="13105C85" w14:textId="77777777" w:rsidR="00D135B0" w:rsidRPr="00874676" w:rsidRDefault="00D135B0" w:rsidP="00D135B0">
      <w:pPr>
        <w:pStyle w:val="NoSpacing"/>
        <w:rPr>
          <w:rFonts w:ascii="Arial" w:hAnsi="Arial" w:cs="Arial"/>
          <w:color w:val="000000"/>
        </w:rPr>
      </w:pPr>
      <w:r w:rsidRPr="00874676">
        <w:rPr>
          <w:rFonts w:ascii="Arial" w:hAnsi="Arial" w:cs="Arial"/>
          <w:color w:val="000000"/>
        </w:rPr>
        <w:t xml:space="preserve">Despite this, challenges in the sector are presented by way of </w:t>
      </w:r>
      <w:r>
        <w:rPr>
          <w:rFonts w:ascii="Arial" w:hAnsi="Arial" w:cs="Arial"/>
          <w:color w:val="000000"/>
        </w:rPr>
        <w:t xml:space="preserve">skills and </w:t>
      </w:r>
      <w:r w:rsidRPr="00874676">
        <w:rPr>
          <w:rFonts w:ascii="Arial" w:hAnsi="Arial" w:cs="Arial"/>
          <w:color w:val="000000"/>
        </w:rPr>
        <w:t>qualifications</w:t>
      </w:r>
      <w:r>
        <w:rPr>
          <w:rFonts w:ascii="Arial" w:hAnsi="Arial" w:cs="Arial"/>
          <w:color w:val="000000"/>
        </w:rPr>
        <w:t>. W</w:t>
      </w:r>
      <w:r w:rsidRPr="00874676">
        <w:rPr>
          <w:rFonts w:ascii="Arial" w:hAnsi="Arial" w:cs="Arial"/>
          <w:color w:val="000000"/>
        </w:rPr>
        <w:t xml:space="preserve">ith below average figures for residents with </w:t>
      </w:r>
      <w:r>
        <w:rPr>
          <w:rFonts w:ascii="Arial" w:hAnsi="Arial" w:cs="Arial"/>
          <w:color w:val="000000"/>
        </w:rPr>
        <w:t xml:space="preserve">qualifications at </w:t>
      </w:r>
      <w:r w:rsidRPr="00874676">
        <w:rPr>
          <w:rFonts w:ascii="Arial" w:hAnsi="Arial" w:cs="Arial"/>
          <w:color w:val="000000"/>
        </w:rPr>
        <w:t xml:space="preserve">Level 3 </w:t>
      </w:r>
      <w:r>
        <w:rPr>
          <w:rFonts w:ascii="Arial" w:hAnsi="Arial" w:cs="Arial"/>
          <w:color w:val="000000"/>
        </w:rPr>
        <w:t>(</w:t>
      </w:r>
      <w:r w:rsidRPr="00874676">
        <w:rPr>
          <w:rFonts w:ascii="Arial" w:hAnsi="Arial" w:cs="Arial"/>
          <w:color w:val="000000"/>
        </w:rPr>
        <w:t>and above</w:t>
      </w:r>
      <w:r>
        <w:rPr>
          <w:rFonts w:ascii="Arial" w:hAnsi="Arial" w:cs="Arial"/>
          <w:color w:val="000000"/>
        </w:rPr>
        <w:t>),</w:t>
      </w:r>
      <w:r w:rsidRPr="00874676">
        <w:rPr>
          <w:rFonts w:ascii="Arial" w:hAnsi="Arial" w:cs="Arial"/>
          <w:color w:val="000000"/>
        </w:rPr>
        <w:t xml:space="preserve"> and over 1 in 5 residents with no qualifications</w:t>
      </w:r>
      <w:r>
        <w:rPr>
          <w:rFonts w:ascii="Arial" w:hAnsi="Arial" w:cs="Arial"/>
          <w:color w:val="000000"/>
        </w:rPr>
        <w:t>, Gravesham is behind its neighbouring authority areas</w:t>
      </w:r>
      <w:r w:rsidRPr="00874676">
        <w:rPr>
          <w:rFonts w:ascii="Arial" w:hAnsi="Arial" w:cs="Arial"/>
          <w:color w:val="000000"/>
        </w:rPr>
        <w:t xml:space="preserve">.   </w:t>
      </w:r>
    </w:p>
    <w:p w14:paraId="75BA2278" w14:textId="77777777" w:rsidR="00D135B0" w:rsidRDefault="00D135B0" w:rsidP="00D135B0">
      <w:pPr>
        <w:pStyle w:val="NoSpacing"/>
      </w:pPr>
    </w:p>
    <w:p w14:paraId="00C952BA" w14:textId="77777777" w:rsidR="00D135B0" w:rsidRPr="00874676" w:rsidRDefault="00D135B0" w:rsidP="00D135B0">
      <w:pPr>
        <w:pStyle w:val="NoSpacing"/>
        <w:rPr>
          <w:rFonts w:ascii="Arial" w:hAnsi="Arial" w:cs="Arial"/>
          <w:color w:val="365F91" w:themeColor="accent1" w:themeShade="BF"/>
          <w:sz w:val="24"/>
          <w:szCs w:val="24"/>
        </w:rPr>
      </w:pPr>
      <w:r w:rsidRPr="00874676">
        <w:rPr>
          <w:rFonts w:ascii="Arial" w:hAnsi="Arial" w:cs="Arial"/>
          <w:color w:val="365F91" w:themeColor="accent1" w:themeShade="BF"/>
          <w:sz w:val="24"/>
          <w:szCs w:val="24"/>
        </w:rPr>
        <w:t>Demographics</w:t>
      </w:r>
    </w:p>
    <w:p w14:paraId="46776A3C" w14:textId="77777777" w:rsidR="00D135B0" w:rsidRPr="00874676" w:rsidRDefault="00D135B0" w:rsidP="00D135B0">
      <w:pPr>
        <w:pStyle w:val="NoSpacing"/>
        <w:rPr>
          <w:rFonts w:ascii="Arial" w:hAnsi="Arial" w:cs="Arial"/>
        </w:rPr>
      </w:pPr>
    </w:p>
    <w:p w14:paraId="6E335045" w14:textId="77777777" w:rsidR="00D135B0" w:rsidRPr="00874676" w:rsidRDefault="00D135B0" w:rsidP="00D135B0">
      <w:pPr>
        <w:pStyle w:val="NoSpacing"/>
        <w:numPr>
          <w:ilvl w:val="0"/>
          <w:numId w:val="19"/>
        </w:numPr>
        <w:rPr>
          <w:rFonts w:ascii="Arial" w:hAnsi="Arial" w:cs="Arial"/>
        </w:rPr>
      </w:pPr>
      <w:r w:rsidRPr="00874676">
        <w:rPr>
          <w:rFonts w:ascii="Arial" w:hAnsi="Arial" w:cs="Arial"/>
        </w:rPr>
        <w:t>There are 10,331 primary school pupils in Gravesham, with the borough having capacity for 10,851. At a secondary level, Gravesham is the only oversubscribed district in Kent, with 9,211 pupils and a capacity of only 8,</w:t>
      </w:r>
      <w:r w:rsidRPr="00AD7A29">
        <w:rPr>
          <w:rFonts w:ascii="Arial" w:hAnsi="Arial" w:cs="Arial"/>
        </w:rPr>
        <w:t>729 (</w:t>
      </w:r>
      <w:r w:rsidRPr="00AD7A29">
        <w:rPr>
          <w:rFonts w:ascii="Arial" w:hAnsi="Arial" w:cs="Arial"/>
          <w:b/>
          <w:bCs/>
        </w:rPr>
        <w:t>Table 21</w:t>
      </w:r>
      <w:r w:rsidRPr="00AD7A29">
        <w:rPr>
          <w:rFonts w:ascii="Arial" w:hAnsi="Arial" w:cs="Arial"/>
        </w:rPr>
        <w:t>).</w:t>
      </w:r>
    </w:p>
    <w:p w14:paraId="419B4F84" w14:textId="77777777" w:rsidR="00D135B0" w:rsidRPr="00874676" w:rsidRDefault="00D135B0" w:rsidP="00D135B0">
      <w:pPr>
        <w:pStyle w:val="NoSpacing"/>
        <w:numPr>
          <w:ilvl w:val="0"/>
          <w:numId w:val="19"/>
        </w:numPr>
        <w:rPr>
          <w:rFonts w:ascii="Arial" w:hAnsi="Arial" w:cs="Arial"/>
        </w:rPr>
      </w:pPr>
      <w:r w:rsidRPr="00874676">
        <w:rPr>
          <w:rFonts w:ascii="Arial" w:hAnsi="Arial" w:cs="Arial"/>
        </w:rPr>
        <w:t xml:space="preserve">23.2% of all pupils are eligible for Free School Meals in Gravesham, ahead of Kent (22.5%) and national positions (20.8%), representing a sizeable increase on the pre-Covid position of 16.9%. </w:t>
      </w:r>
    </w:p>
    <w:p w14:paraId="7E465CE2" w14:textId="77777777" w:rsidR="00D135B0" w:rsidRPr="00874676" w:rsidRDefault="00D135B0" w:rsidP="00D135B0">
      <w:pPr>
        <w:pStyle w:val="NoSpacing"/>
        <w:numPr>
          <w:ilvl w:val="0"/>
          <w:numId w:val="19"/>
        </w:numPr>
        <w:rPr>
          <w:rFonts w:ascii="Arial" w:hAnsi="Arial" w:cs="Arial"/>
        </w:rPr>
      </w:pPr>
      <w:r w:rsidRPr="00874676">
        <w:rPr>
          <w:rFonts w:ascii="Arial" w:hAnsi="Arial" w:cs="Arial"/>
        </w:rPr>
        <w:t>13.8% of Gravesham pupils are identified as having special educational needs, with 3.1% of pupils in Gravesham allocated an Education, Health &amp; Care Plan (EHC), the second lowest rate in Kent</w:t>
      </w:r>
      <w:r>
        <w:rPr>
          <w:rFonts w:ascii="Arial" w:hAnsi="Arial" w:cs="Arial"/>
        </w:rPr>
        <w:t xml:space="preserve">. This represents </w:t>
      </w:r>
      <w:r w:rsidRPr="00874676">
        <w:rPr>
          <w:rFonts w:ascii="Arial" w:hAnsi="Arial" w:cs="Arial"/>
        </w:rPr>
        <w:t>the second lowest conversion rate (22.5%) of EHC Plans issued for identified SEN pupils ahead of Dartford (21.5%), but considerably below the county average (29.6</w:t>
      </w:r>
      <w:r w:rsidRPr="00AD7A29">
        <w:rPr>
          <w:rFonts w:ascii="Arial" w:hAnsi="Arial" w:cs="Arial"/>
        </w:rPr>
        <w:t>%) (</w:t>
      </w:r>
      <w:r w:rsidRPr="00AD7A29">
        <w:rPr>
          <w:rFonts w:ascii="Arial" w:hAnsi="Arial" w:cs="Arial"/>
          <w:b/>
          <w:bCs/>
        </w:rPr>
        <w:t>Table 22</w:t>
      </w:r>
      <w:r w:rsidRPr="00874676">
        <w:rPr>
          <w:rFonts w:ascii="Arial" w:hAnsi="Arial" w:cs="Arial"/>
        </w:rPr>
        <w:t>).</w:t>
      </w:r>
    </w:p>
    <w:p w14:paraId="6C663373" w14:textId="77777777" w:rsidR="00D135B0" w:rsidRPr="00874676" w:rsidRDefault="00D135B0" w:rsidP="00D135B0">
      <w:pPr>
        <w:pStyle w:val="NoSpacing"/>
        <w:numPr>
          <w:ilvl w:val="0"/>
          <w:numId w:val="19"/>
        </w:numPr>
        <w:rPr>
          <w:rFonts w:ascii="Arial" w:hAnsi="Arial" w:cs="Arial"/>
        </w:rPr>
      </w:pPr>
      <w:r w:rsidRPr="00874676">
        <w:rPr>
          <w:rFonts w:ascii="Arial" w:hAnsi="Arial" w:cs="Arial"/>
        </w:rPr>
        <w:t>24.6% of primary school pupils d</w:t>
      </w:r>
      <w:r>
        <w:rPr>
          <w:rFonts w:ascii="Arial" w:hAnsi="Arial" w:cs="Arial"/>
        </w:rPr>
        <w:t>o</w:t>
      </w:r>
      <w:r w:rsidRPr="00874676">
        <w:rPr>
          <w:rFonts w:ascii="Arial" w:hAnsi="Arial" w:cs="Arial"/>
        </w:rPr>
        <w:t xml:space="preserve"> not have English as their first language. Gravesham’s figure is the second highest in Kent, and significantly ahead of the county average at 13.4%. In addition, 43.1% of pupils are identified as of a minority ethnic background, the second highest figure in Kent behind Dartford (45.3%). </w:t>
      </w:r>
    </w:p>
    <w:p w14:paraId="27D0AB9B" w14:textId="77777777" w:rsidR="00D135B0" w:rsidRPr="00874676" w:rsidRDefault="00D135B0" w:rsidP="00D135B0">
      <w:pPr>
        <w:pStyle w:val="NoSpacing"/>
        <w:numPr>
          <w:ilvl w:val="0"/>
          <w:numId w:val="19"/>
        </w:numPr>
        <w:rPr>
          <w:rFonts w:ascii="Arial" w:hAnsi="Arial" w:cs="Arial"/>
        </w:rPr>
      </w:pPr>
      <w:r w:rsidRPr="00874676">
        <w:rPr>
          <w:rFonts w:ascii="Arial" w:hAnsi="Arial" w:cs="Arial"/>
        </w:rPr>
        <w:t xml:space="preserve">At secondary school level, 21.4% of pupils did not have English as their first language, the highest figure in Kent and </w:t>
      </w:r>
      <w:r>
        <w:rPr>
          <w:rFonts w:ascii="Arial" w:hAnsi="Arial" w:cs="Arial"/>
        </w:rPr>
        <w:t xml:space="preserve">substantially </w:t>
      </w:r>
      <w:r w:rsidRPr="00874676">
        <w:rPr>
          <w:rFonts w:ascii="Arial" w:hAnsi="Arial" w:cs="Arial"/>
        </w:rPr>
        <w:t xml:space="preserve">ahead of the county average of 10.9%. In addition, 42.4% of pupils are identified as of a minority ethnic background, </w:t>
      </w:r>
      <w:r>
        <w:rPr>
          <w:rFonts w:ascii="Arial" w:hAnsi="Arial" w:cs="Arial"/>
        </w:rPr>
        <w:t xml:space="preserve">again </w:t>
      </w:r>
      <w:r w:rsidRPr="00874676">
        <w:rPr>
          <w:rFonts w:ascii="Arial" w:hAnsi="Arial" w:cs="Arial"/>
        </w:rPr>
        <w:t xml:space="preserve">the second highest figure in Kent behind Dartford (47.2%). </w:t>
      </w:r>
    </w:p>
    <w:p w14:paraId="0B541149" w14:textId="77777777" w:rsidR="00D135B0" w:rsidRPr="00874676" w:rsidRDefault="00D135B0" w:rsidP="00D135B0">
      <w:pPr>
        <w:pStyle w:val="NoSpacing"/>
        <w:rPr>
          <w:rFonts w:ascii="Arial" w:hAnsi="Arial" w:cs="Arial"/>
        </w:rPr>
      </w:pPr>
    </w:p>
    <w:p w14:paraId="3327C4EF" w14:textId="77777777" w:rsidR="00D135B0" w:rsidRPr="00874676" w:rsidRDefault="00D135B0" w:rsidP="00D135B0">
      <w:pPr>
        <w:pStyle w:val="NoSpacing"/>
        <w:rPr>
          <w:rFonts w:ascii="Arial" w:hAnsi="Arial" w:cs="Arial"/>
          <w:color w:val="365F91" w:themeColor="accent1" w:themeShade="BF"/>
          <w:sz w:val="24"/>
          <w:szCs w:val="24"/>
        </w:rPr>
      </w:pPr>
      <w:r w:rsidRPr="00874676">
        <w:rPr>
          <w:rFonts w:ascii="Arial" w:hAnsi="Arial" w:cs="Arial"/>
          <w:color w:val="365F91" w:themeColor="accent1" w:themeShade="BF"/>
          <w:sz w:val="24"/>
          <w:szCs w:val="24"/>
        </w:rPr>
        <w:t xml:space="preserve">Profile </w:t>
      </w:r>
    </w:p>
    <w:p w14:paraId="17BACD22" w14:textId="77777777" w:rsidR="00D135B0" w:rsidRDefault="00D135B0" w:rsidP="00D135B0">
      <w:pPr>
        <w:pStyle w:val="NoSpacing"/>
        <w:rPr>
          <w:rFonts w:ascii="Arial" w:hAnsi="Arial" w:cs="Arial"/>
        </w:rPr>
      </w:pPr>
    </w:p>
    <w:p w14:paraId="745C4FB0" w14:textId="77777777" w:rsidR="00D135B0" w:rsidRDefault="00D135B0" w:rsidP="00D135B0">
      <w:pPr>
        <w:pStyle w:val="NoSpacing"/>
        <w:numPr>
          <w:ilvl w:val="0"/>
          <w:numId w:val="20"/>
        </w:numPr>
        <w:rPr>
          <w:rFonts w:ascii="Arial" w:hAnsi="Arial" w:cs="Arial"/>
        </w:rPr>
      </w:pPr>
      <w:r w:rsidRPr="00874676">
        <w:rPr>
          <w:rFonts w:ascii="Arial" w:hAnsi="Arial" w:cs="Arial"/>
        </w:rPr>
        <w:t>Gravesham presents the third highest percentage of primary school pupil absences in Kent at 4.0%, with 10.7% of pupils classed as persistently absent (missing 10% of sessions or above), both figures ahead of Kent and national averages.</w:t>
      </w:r>
    </w:p>
    <w:p w14:paraId="146A17F0" w14:textId="77777777" w:rsidR="00D135B0" w:rsidRDefault="00D135B0" w:rsidP="00D135B0">
      <w:pPr>
        <w:pStyle w:val="NoSpacing"/>
        <w:numPr>
          <w:ilvl w:val="0"/>
          <w:numId w:val="20"/>
        </w:numPr>
        <w:rPr>
          <w:rFonts w:ascii="Arial" w:hAnsi="Arial" w:cs="Arial"/>
        </w:rPr>
      </w:pPr>
      <w:r w:rsidRPr="00874676">
        <w:rPr>
          <w:rFonts w:ascii="Arial" w:hAnsi="Arial" w:cs="Arial"/>
        </w:rPr>
        <w:t>At a secondary level, 5.5% of pupils in Gravesham presented authorised or unauthorised absences, in line with county and national positions. For pupils classed as persistently absent (10% or above) the secondary school figure was recorded as 14.8% of pupils.</w:t>
      </w:r>
    </w:p>
    <w:p w14:paraId="4525158C" w14:textId="77777777" w:rsidR="00D135B0" w:rsidRPr="00874676" w:rsidRDefault="00D135B0" w:rsidP="00D135B0">
      <w:pPr>
        <w:pStyle w:val="NoSpacing"/>
        <w:numPr>
          <w:ilvl w:val="0"/>
          <w:numId w:val="20"/>
        </w:numPr>
        <w:rPr>
          <w:rFonts w:ascii="Arial" w:hAnsi="Arial" w:cs="Arial"/>
        </w:rPr>
      </w:pPr>
      <w:r w:rsidRPr="00874676">
        <w:rPr>
          <w:rFonts w:ascii="Arial" w:hAnsi="Arial" w:cs="Arial"/>
        </w:rPr>
        <w:t>96.3% of Gravesham’s primary schools had an Ofsted rating of ‘good’ or ‘outstanding’, the third highest level in Kent. At a secondary level, all eight of Gravesham’s mainstream schools present a ‘good’ or ‘outstanding’ rating, one of five districts to present a 100% level. Both tiers are ahead of national averages at 88% (</w:t>
      </w:r>
      <w:r w:rsidRPr="00AD7A29">
        <w:rPr>
          <w:rFonts w:ascii="Arial" w:hAnsi="Arial" w:cs="Arial"/>
          <w:b/>
          <w:bCs/>
        </w:rPr>
        <w:t xml:space="preserve">Table </w:t>
      </w:r>
      <w:r>
        <w:rPr>
          <w:rFonts w:ascii="Arial" w:hAnsi="Arial" w:cs="Arial"/>
          <w:b/>
          <w:bCs/>
        </w:rPr>
        <w:t>23</w:t>
      </w:r>
      <w:r w:rsidRPr="00874676">
        <w:rPr>
          <w:rFonts w:ascii="Arial" w:hAnsi="Arial" w:cs="Arial"/>
        </w:rPr>
        <w:t>).</w:t>
      </w:r>
    </w:p>
    <w:p w14:paraId="22004AA2" w14:textId="77777777" w:rsidR="00D135B0" w:rsidRDefault="00D135B0" w:rsidP="00D135B0">
      <w:pPr>
        <w:pStyle w:val="NoSpacing"/>
        <w:rPr>
          <w:rFonts w:ascii="Arial" w:hAnsi="Arial" w:cs="Arial"/>
          <w:color w:val="365F91" w:themeColor="accent1" w:themeShade="BF"/>
          <w:sz w:val="24"/>
          <w:szCs w:val="24"/>
        </w:rPr>
      </w:pPr>
      <w:r w:rsidRPr="00874676">
        <w:rPr>
          <w:rFonts w:ascii="Arial" w:hAnsi="Arial" w:cs="Arial"/>
        </w:rPr>
        <w:br/>
      </w:r>
    </w:p>
    <w:p w14:paraId="66C7F7EF" w14:textId="586E6ED3" w:rsidR="00D135B0" w:rsidRDefault="00D135B0" w:rsidP="00D135B0">
      <w:pPr>
        <w:pStyle w:val="NoSpacing"/>
        <w:rPr>
          <w:rFonts w:ascii="Arial" w:hAnsi="Arial" w:cs="Arial"/>
          <w:color w:val="365F91" w:themeColor="accent1" w:themeShade="BF"/>
          <w:sz w:val="24"/>
          <w:szCs w:val="24"/>
        </w:rPr>
      </w:pPr>
    </w:p>
    <w:p w14:paraId="1F9E6F65" w14:textId="77777777" w:rsidR="00D135B0" w:rsidRDefault="00D135B0" w:rsidP="00D135B0">
      <w:pPr>
        <w:pStyle w:val="NoSpacing"/>
        <w:rPr>
          <w:rFonts w:ascii="Arial" w:hAnsi="Arial" w:cs="Arial"/>
          <w:color w:val="365F91" w:themeColor="accent1" w:themeShade="BF"/>
          <w:sz w:val="24"/>
          <w:szCs w:val="24"/>
        </w:rPr>
      </w:pPr>
    </w:p>
    <w:p w14:paraId="3AB88103" w14:textId="4D26DBB8" w:rsidR="00D135B0" w:rsidRDefault="00D135B0" w:rsidP="00D135B0">
      <w:pPr>
        <w:pStyle w:val="NoSpacing"/>
        <w:rPr>
          <w:rFonts w:ascii="Arial" w:hAnsi="Arial" w:cs="Arial"/>
          <w:color w:val="365F91" w:themeColor="accent1" w:themeShade="BF"/>
          <w:sz w:val="24"/>
          <w:szCs w:val="24"/>
        </w:rPr>
      </w:pPr>
      <w:r w:rsidRPr="00874676">
        <w:rPr>
          <w:rFonts w:ascii="Arial" w:hAnsi="Arial" w:cs="Arial"/>
          <w:color w:val="365F91" w:themeColor="accent1" w:themeShade="BF"/>
          <w:sz w:val="24"/>
          <w:szCs w:val="24"/>
        </w:rPr>
        <w:lastRenderedPageBreak/>
        <w:t xml:space="preserve">Attainment </w:t>
      </w:r>
    </w:p>
    <w:p w14:paraId="533A322C" w14:textId="77777777" w:rsidR="00D135B0" w:rsidRPr="00874676" w:rsidRDefault="00D135B0" w:rsidP="00D135B0">
      <w:pPr>
        <w:pStyle w:val="NoSpacing"/>
        <w:rPr>
          <w:rFonts w:ascii="Arial" w:hAnsi="Arial" w:cs="Arial"/>
        </w:rPr>
      </w:pPr>
    </w:p>
    <w:p w14:paraId="7AA392E7" w14:textId="77777777" w:rsidR="00D135B0" w:rsidRPr="0063085F" w:rsidRDefault="00D135B0" w:rsidP="00D135B0">
      <w:pPr>
        <w:pStyle w:val="NoSpacing"/>
        <w:numPr>
          <w:ilvl w:val="0"/>
          <w:numId w:val="21"/>
        </w:numPr>
        <w:rPr>
          <w:rFonts w:ascii="Arial" w:hAnsi="Arial" w:cs="Arial"/>
        </w:rPr>
      </w:pPr>
      <w:r w:rsidRPr="00874676">
        <w:rPr>
          <w:rFonts w:ascii="Arial" w:hAnsi="Arial" w:cs="Arial"/>
        </w:rPr>
        <w:t xml:space="preserve">Latest Key Stage 4 (Attainment 8) data identifies the average score of Gravesham pupils was 47.6, the fifth highest in Kent, and ahead of the Kent (47.4) and national (46.8) averages. Gravesham also consistently presents the smallest gap in the level of attainment </w:t>
      </w:r>
      <w:r w:rsidRPr="0063085F">
        <w:rPr>
          <w:rFonts w:ascii="Arial" w:hAnsi="Arial" w:cs="Arial"/>
        </w:rPr>
        <w:t xml:space="preserve">between girls and boys, with the latest position seeing girls achieve an average 2.1 higher score, significantly below Kent and national positions. </w:t>
      </w:r>
    </w:p>
    <w:p w14:paraId="7047AEB6" w14:textId="77777777" w:rsidR="00D135B0" w:rsidRDefault="00D135B0" w:rsidP="00D135B0">
      <w:pPr>
        <w:pStyle w:val="NoSpacing"/>
        <w:numPr>
          <w:ilvl w:val="0"/>
          <w:numId w:val="21"/>
        </w:numPr>
        <w:rPr>
          <w:rFonts w:ascii="Arial" w:hAnsi="Arial" w:cs="Arial"/>
        </w:rPr>
      </w:pPr>
      <w:r w:rsidRPr="0063085F">
        <w:rPr>
          <w:rFonts w:ascii="Arial" w:hAnsi="Arial" w:cs="Arial"/>
        </w:rPr>
        <w:t>For Level 3 students, the average</w:t>
      </w:r>
      <w:r w:rsidRPr="00874676">
        <w:rPr>
          <w:rFonts w:ascii="Arial" w:hAnsi="Arial" w:cs="Arial"/>
        </w:rPr>
        <w:t xml:space="preserve"> point score per entry in Gravesham was 29.7, the tenth highest in Kent, behind the county (33.1) and national (32.8) averages. Similarly, Gravesham presents an average point score for A-Levels of 30.2, above only Thanet across Kent, and again significantly below Kent and national averages.</w:t>
      </w:r>
    </w:p>
    <w:p w14:paraId="090673A2" w14:textId="77777777" w:rsidR="00D135B0" w:rsidRPr="00874676" w:rsidRDefault="00D135B0" w:rsidP="00D135B0">
      <w:pPr>
        <w:pStyle w:val="NoSpacing"/>
        <w:numPr>
          <w:ilvl w:val="0"/>
          <w:numId w:val="21"/>
        </w:numPr>
        <w:rPr>
          <w:rFonts w:ascii="Arial" w:hAnsi="Arial" w:cs="Arial"/>
        </w:rPr>
      </w:pPr>
      <w:r w:rsidRPr="00874676">
        <w:rPr>
          <w:rFonts w:ascii="Arial" w:hAnsi="Arial" w:cs="Arial"/>
        </w:rPr>
        <w:t>When considering achievement at higher education levels, the 2021 Census reveals that within Gravesham 26.7% of residents have ‘Level 4 qualifications and above’ i.e. Degree level (and equivalent) and above. This is the third lowest figure across Kent districts, albeit a positive an increase on the 2011 (20.0%) and 2001 (12.5%) Census, respectively. Conversely, when considering the number of residents who have no qualifications, Gravesham recorded a figure of 20.3% at the 2021 Census, again representing a positive improvement on the respective 2011 (24.4%) and 2001 (31.4%) Census (</w:t>
      </w:r>
      <w:r w:rsidRPr="00AD7A29">
        <w:rPr>
          <w:rFonts w:ascii="Arial" w:hAnsi="Arial" w:cs="Arial"/>
          <w:b/>
          <w:bCs/>
        </w:rPr>
        <w:t xml:space="preserve">Table </w:t>
      </w:r>
      <w:r>
        <w:rPr>
          <w:rFonts w:ascii="Arial" w:hAnsi="Arial" w:cs="Arial"/>
          <w:b/>
          <w:bCs/>
        </w:rPr>
        <w:t>24</w:t>
      </w:r>
      <w:r w:rsidRPr="00874676">
        <w:rPr>
          <w:rFonts w:ascii="Arial" w:hAnsi="Arial" w:cs="Arial"/>
        </w:rPr>
        <w:t>).</w:t>
      </w:r>
    </w:p>
    <w:p w14:paraId="19455355" w14:textId="77777777" w:rsidR="00D135B0" w:rsidRPr="0035477F" w:rsidRDefault="00D135B0" w:rsidP="00D135B0">
      <w:pPr>
        <w:pStyle w:val="NoSpacing"/>
        <w:rPr>
          <w:rFonts w:ascii="Arial" w:eastAsia="Times New Roman" w:hAnsi="Arial" w:cs="Arial"/>
          <w:color w:val="000000"/>
          <w:lang w:eastAsia="en-GB"/>
        </w:rPr>
      </w:pPr>
    </w:p>
    <w:p w14:paraId="210261B3" w14:textId="736ACB85" w:rsidR="00D135B0" w:rsidRDefault="00D135B0" w:rsidP="00D135B0">
      <w:pPr>
        <w:autoSpaceDE w:val="0"/>
        <w:autoSpaceDN w:val="0"/>
        <w:adjustRightInd w:val="0"/>
        <w:spacing w:after="0" w:line="240" w:lineRule="auto"/>
        <w:rPr>
          <w:rStyle w:val="Hyperlink"/>
          <w:rFonts w:ascii="Arial" w:hAnsi="Arial" w:cs="Arial"/>
        </w:rPr>
      </w:pPr>
    </w:p>
    <w:p w14:paraId="630E8FB2" w14:textId="40AB8C89" w:rsidR="00D135B0" w:rsidRDefault="00D135B0" w:rsidP="00D135B0">
      <w:pPr>
        <w:autoSpaceDE w:val="0"/>
        <w:autoSpaceDN w:val="0"/>
        <w:adjustRightInd w:val="0"/>
        <w:spacing w:after="0" w:line="240" w:lineRule="auto"/>
        <w:rPr>
          <w:rStyle w:val="Hyperlink"/>
          <w:rFonts w:ascii="Arial" w:hAnsi="Arial" w:cs="Arial"/>
        </w:rPr>
      </w:pPr>
    </w:p>
    <w:p w14:paraId="103B3AB1" w14:textId="77777777" w:rsidR="00D135B0" w:rsidRDefault="00D135B0" w:rsidP="00D135B0">
      <w:pPr>
        <w:autoSpaceDE w:val="0"/>
        <w:autoSpaceDN w:val="0"/>
        <w:adjustRightInd w:val="0"/>
        <w:spacing w:after="0" w:line="240" w:lineRule="auto"/>
        <w:rPr>
          <w:rFonts w:ascii="Arial" w:hAnsi="Arial" w:cs="Arial"/>
        </w:rPr>
      </w:pPr>
    </w:p>
    <w:p w14:paraId="2B4B074B" w14:textId="7CBA4E3C" w:rsidR="00F27970" w:rsidRDefault="00F27970" w:rsidP="006255AD">
      <w:pPr>
        <w:autoSpaceDE w:val="0"/>
        <w:autoSpaceDN w:val="0"/>
        <w:adjustRightInd w:val="0"/>
        <w:spacing w:after="0" w:line="240" w:lineRule="auto"/>
        <w:rPr>
          <w:rFonts w:ascii="Arial" w:hAnsi="Arial" w:cs="Arial"/>
        </w:rPr>
      </w:pPr>
    </w:p>
    <w:p w14:paraId="125846F7" w14:textId="5FA72C3F" w:rsidR="00A81634" w:rsidRDefault="00A81634" w:rsidP="006255AD">
      <w:pPr>
        <w:autoSpaceDE w:val="0"/>
        <w:autoSpaceDN w:val="0"/>
        <w:adjustRightInd w:val="0"/>
        <w:spacing w:after="0" w:line="240" w:lineRule="auto"/>
        <w:rPr>
          <w:rFonts w:ascii="Arial" w:hAnsi="Arial" w:cs="Arial"/>
        </w:rPr>
      </w:pPr>
    </w:p>
    <w:p w14:paraId="2B5967C5" w14:textId="1FEEC636" w:rsidR="00A81634" w:rsidRDefault="00A81634" w:rsidP="006255AD">
      <w:pPr>
        <w:autoSpaceDE w:val="0"/>
        <w:autoSpaceDN w:val="0"/>
        <w:adjustRightInd w:val="0"/>
        <w:spacing w:after="0" w:line="240" w:lineRule="auto"/>
        <w:rPr>
          <w:rFonts w:ascii="Arial" w:hAnsi="Arial" w:cs="Arial"/>
        </w:rPr>
      </w:pPr>
    </w:p>
    <w:p w14:paraId="2636D0B2" w14:textId="1FF116A8" w:rsidR="00A81634" w:rsidRDefault="00A81634" w:rsidP="006255AD">
      <w:pPr>
        <w:autoSpaceDE w:val="0"/>
        <w:autoSpaceDN w:val="0"/>
        <w:adjustRightInd w:val="0"/>
        <w:spacing w:after="0" w:line="240" w:lineRule="auto"/>
        <w:rPr>
          <w:rFonts w:ascii="Arial" w:hAnsi="Arial" w:cs="Arial"/>
        </w:rPr>
      </w:pPr>
    </w:p>
    <w:p w14:paraId="7EFEE446" w14:textId="003BED57" w:rsidR="00A81634" w:rsidRDefault="00A81634" w:rsidP="006255AD">
      <w:pPr>
        <w:autoSpaceDE w:val="0"/>
        <w:autoSpaceDN w:val="0"/>
        <w:adjustRightInd w:val="0"/>
        <w:spacing w:after="0" w:line="240" w:lineRule="auto"/>
        <w:rPr>
          <w:rFonts w:ascii="Arial" w:hAnsi="Arial" w:cs="Arial"/>
        </w:rPr>
      </w:pPr>
    </w:p>
    <w:p w14:paraId="160CD6D5" w14:textId="059A7403" w:rsidR="00D135B0" w:rsidRDefault="00D135B0" w:rsidP="006255AD">
      <w:pPr>
        <w:autoSpaceDE w:val="0"/>
        <w:autoSpaceDN w:val="0"/>
        <w:adjustRightInd w:val="0"/>
        <w:spacing w:after="0" w:line="240" w:lineRule="auto"/>
        <w:rPr>
          <w:rFonts w:ascii="Arial" w:hAnsi="Arial" w:cs="Arial"/>
        </w:rPr>
      </w:pPr>
    </w:p>
    <w:p w14:paraId="116155A4" w14:textId="5E1F233D" w:rsidR="00D135B0" w:rsidRDefault="00D135B0" w:rsidP="006255AD">
      <w:pPr>
        <w:autoSpaceDE w:val="0"/>
        <w:autoSpaceDN w:val="0"/>
        <w:adjustRightInd w:val="0"/>
        <w:spacing w:after="0" w:line="240" w:lineRule="auto"/>
        <w:rPr>
          <w:rFonts w:ascii="Arial" w:hAnsi="Arial" w:cs="Arial"/>
        </w:rPr>
      </w:pPr>
    </w:p>
    <w:p w14:paraId="6B97C311" w14:textId="38234269" w:rsidR="00D135B0" w:rsidRDefault="00D135B0" w:rsidP="006255AD">
      <w:pPr>
        <w:autoSpaceDE w:val="0"/>
        <w:autoSpaceDN w:val="0"/>
        <w:adjustRightInd w:val="0"/>
        <w:spacing w:after="0" w:line="240" w:lineRule="auto"/>
        <w:rPr>
          <w:rFonts w:ascii="Arial" w:hAnsi="Arial" w:cs="Arial"/>
        </w:rPr>
      </w:pPr>
    </w:p>
    <w:p w14:paraId="3BB78AE4" w14:textId="0B581104" w:rsidR="00D135B0" w:rsidRDefault="00D135B0" w:rsidP="006255AD">
      <w:pPr>
        <w:autoSpaceDE w:val="0"/>
        <w:autoSpaceDN w:val="0"/>
        <w:adjustRightInd w:val="0"/>
        <w:spacing w:after="0" w:line="240" w:lineRule="auto"/>
        <w:rPr>
          <w:rFonts w:ascii="Arial" w:hAnsi="Arial" w:cs="Arial"/>
        </w:rPr>
      </w:pPr>
    </w:p>
    <w:p w14:paraId="4C91852B" w14:textId="05AE9DBD" w:rsidR="00D135B0" w:rsidRDefault="00D135B0" w:rsidP="006255AD">
      <w:pPr>
        <w:autoSpaceDE w:val="0"/>
        <w:autoSpaceDN w:val="0"/>
        <w:adjustRightInd w:val="0"/>
        <w:spacing w:after="0" w:line="240" w:lineRule="auto"/>
        <w:rPr>
          <w:rFonts w:ascii="Arial" w:hAnsi="Arial" w:cs="Arial"/>
        </w:rPr>
      </w:pPr>
    </w:p>
    <w:p w14:paraId="16E60A58" w14:textId="12278BAB" w:rsidR="00D135B0" w:rsidRDefault="00D135B0" w:rsidP="006255AD">
      <w:pPr>
        <w:autoSpaceDE w:val="0"/>
        <w:autoSpaceDN w:val="0"/>
        <w:adjustRightInd w:val="0"/>
        <w:spacing w:after="0" w:line="240" w:lineRule="auto"/>
        <w:rPr>
          <w:rFonts w:ascii="Arial" w:hAnsi="Arial" w:cs="Arial"/>
        </w:rPr>
      </w:pPr>
    </w:p>
    <w:p w14:paraId="1225CD5B" w14:textId="4F43D24E" w:rsidR="00D135B0" w:rsidRDefault="00D135B0" w:rsidP="006255AD">
      <w:pPr>
        <w:autoSpaceDE w:val="0"/>
        <w:autoSpaceDN w:val="0"/>
        <w:adjustRightInd w:val="0"/>
        <w:spacing w:after="0" w:line="240" w:lineRule="auto"/>
        <w:rPr>
          <w:rFonts w:ascii="Arial" w:hAnsi="Arial" w:cs="Arial"/>
        </w:rPr>
      </w:pPr>
    </w:p>
    <w:p w14:paraId="77E7E7A7" w14:textId="16AEF266" w:rsidR="00D135B0" w:rsidRDefault="00D135B0" w:rsidP="006255AD">
      <w:pPr>
        <w:autoSpaceDE w:val="0"/>
        <w:autoSpaceDN w:val="0"/>
        <w:adjustRightInd w:val="0"/>
        <w:spacing w:after="0" w:line="240" w:lineRule="auto"/>
        <w:rPr>
          <w:rFonts w:ascii="Arial" w:hAnsi="Arial" w:cs="Arial"/>
        </w:rPr>
      </w:pPr>
    </w:p>
    <w:p w14:paraId="5095E8ED" w14:textId="2215BCF1" w:rsidR="00D135B0" w:rsidRDefault="00D135B0" w:rsidP="006255AD">
      <w:pPr>
        <w:autoSpaceDE w:val="0"/>
        <w:autoSpaceDN w:val="0"/>
        <w:adjustRightInd w:val="0"/>
        <w:spacing w:after="0" w:line="240" w:lineRule="auto"/>
        <w:rPr>
          <w:rFonts w:ascii="Arial" w:hAnsi="Arial" w:cs="Arial"/>
        </w:rPr>
      </w:pPr>
    </w:p>
    <w:p w14:paraId="36FE3228" w14:textId="50D702BF" w:rsidR="00D135B0" w:rsidRDefault="00D135B0" w:rsidP="006255AD">
      <w:pPr>
        <w:autoSpaceDE w:val="0"/>
        <w:autoSpaceDN w:val="0"/>
        <w:adjustRightInd w:val="0"/>
        <w:spacing w:after="0" w:line="240" w:lineRule="auto"/>
        <w:rPr>
          <w:rFonts w:ascii="Arial" w:hAnsi="Arial" w:cs="Arial"/>
        </w:rPr>
      </w:pPr>
    </w:p>
    <w:p w14:paraId="63912789" w14:textId="52A69DEB" w:rsidR="00D135B0" w:rsidRDefault="00D135B0" w:rsidP="006255AD">
      <w:pPr>
        <w:autoSpaceDE w:val="0"/>
        <w:autoSpaceDN w:val="0"/>
        <w:adjustRightInd w:val="0"/>
        <w:spacing w:after="0" w:line="240" w:lineRule="auto"/>
        <w:rPr>
          <w:rFonts w:ascii="Arial" w:hAnsi="Arial" w:cs="Arial"/>
        </w:rPr>
      </w:pPr>
    </w:p>
    <w:p w14:paraId="5D051078" w14:textId="2655AC1A" w:rsidR="00D135B0" w:rsidRDefault="00D135B0" w:rsidP="006255AD">
      <w:pPr>
        <w:autoSpaceDE w:val="0"/>
        <w:autoSpaceDN w:val="0"/>
        <w:adjustRightInd w:val="0"/>
        <w:spacing w:after="0" w:line="240" w:lineRule="auto"/>
        <w:rPr>
          <w:rFonts w:ascii="Arial" w:hAnsi="Arial" w:cs="Arial"/>
        </w:rPr>
      </w:pPr>
    </w:p>
    <w:p w14:paraId="3FB8397D" w14:textId="1982344C" w:rsidR="00D135B0" w:rsidRDefault="00D135B0" w:rsidP="006255AD">
      <w:pPr>
        <w:autoSpaceDE w:val="0"/>
        <w:autoSpaceDN w:val="0"/>
        <w:adjustRightInd w:val="0"/>
        <w:spacing w:after="0" w:line="240" w:lineRule="auto"/>
        <w:rPr>
          <w:rFonts w:ascii="Arial" w:hAnsi="Arial" w:cs="Arial"/>
        </w:rPr>
      </w:pPr>
    </w:p>
    <w:p w14:paraId="5679ADBE" w14:textId="77777777" w:rsidR="00D135B0" w:rsidRDefault="00D135B0" w:rsidP="00D135B0">
      <w:pPr>
        <w:pStyle w:val="NoSpacing"/>
        <w:rPr>
          <w:rFonts w:ascii="Arial" w:eastAsia="Arial" w:hAnsi="Arial" w:cs="Arial"/>
          <w:color w:val="365F91" w:themeColor="accent1" w:themeShade="BF"/>
          <w:sz w:val="26"/>
          <w:szCs w:val="26"/>
        </w:rPr>
      </w:pPr>
    </w:p>
    <w:p w14:paraId="321B4A7E" w14:textId="77777777" w:rsidR="00D135B0" w:rsidRDefault="00D135B0" w:rsidP="00D135B0">
      <w:pPr>
        <w:pStyle w:val="NoSpacing"/>
        <w:rPr>
          <w:rFonts w:ascii="Arial" w:eastAsia="Arial" w:hAnsi="Arial" w:cs="Arial"/>
          <w:color w:val="365F91" w:themeColor="accent1" w:themeShade="BF"/>
          <w:sz w:val="26"/>
          <w:szCs w:val="26"/>
        </w:rPr>
      </w:pPr>
    </w:p>
    <w:p w14:paraId="2920281B" w14:textId="1C2427E5" w:rsidR="00D135B0" w:rsidRDefault="00D135B0" w:rsidP="00D135B0">
      <w:pPr>
        <w:pStyle w:val="NoSpacing"/>
        <w:rPr>
          <w:rFonts w:ascii="Arial" w:hAnsi="Arial" w:cs="Arial"/>
        </w:rPr>
      </w:pPr>
      <w:r w:rsidRPr="00FD6ABF">
        <w:rPr>
          <w:rFonts w:ascii="Arial" w:eastAsia="Arial" w:hAnsi="Arial" w:cs="Arial"/>
          <w:color w:val="365F91" w:themeColor="accent1" w:themeShade="BF"/>
          <w:sz w:val="26"/>
          <w:szCs w:val="26"/>
        </w:rPr>
        <w:lastRenderedPageBreak/>
        <w:t>9. Health</w:t>
      </w:r>
    </w:p>
    <w:p w14:paraId="51AF661E" w14:textId="77777777" w:rsidR="00D135B0" w:rsidRDefault="00D135B0" w:rsidP="00D135B0">
      <w:pPr>
        <w:pStyle w:val="NoSpacing"/>
        <w:rPr>
          <w:rFonts w:ascii="Arial" w:hAnsi="Arial" w:cs="Arial"/>
        </w:rPr>
      </w:pPr>
    </w:p>
    <w:p w14:paraId="50ED67F9" w14:textId="77777777" w:rsidR="00D135B0" w:rsidRPr="00FD6ABF" w:rsidRDefault="00D135B0" w:rsidP="00D135B0">
      <w:pPr>
        <w:pStyle w:val="NoSpacing"/>
        <w:rPr>
          <w:rFonts w:ascii="Arial" w:hAnsi="Arial" w:cs="Arial"/>
        </w:rPr>
      </w:pPr>
      <w:r>
        <w:rPr>
          <w:rFonts w:ascii="Arial" w:hAnsi="Arial" w:cs="Arial"/>
        </w:rPr>
        <w:t xml:space="preserve">Recent years has seen considerable </w:t>
      </w:r>
      <w:r w:rsidRPr="00FD6ABF">
        <w:rPr>
          <w:rFonts w:ascii="Arial" w:hAnsi="Arial" w:cs="Arial"/>
        </w:rPr>
        <w:t xml:space="preserve">improvement to the </w:t>
      </w:r>
      <w:r>
        <w:rPr>
          <w:rFonts w:ascii="Arial" w:hAnsi="Arial" w:cs="Arial"/>
        </w:rPr>
        <w:t xml:space="preserve">overall </w:t>
      </w:r>
      <w:r w:rsidRPr="00FD6ABF">
        <w:rPr>
          <w:rFonts w:ascii="Arial" w:hAnsi="Arial" w:cs="Arial"/>
        </w:rPr>
        <w:t>levels of public health experienced by Gravesham residents. Despite this, Gravesham still performs poorly across various indicators compared with county, regional and national averages, mirroring the socio-economic challenges presented elsewhere in th</w:t>
      </w:r>
      <w:r>
        <w:rPr>
          <w:rFonts w:ascii="Arial" w:hAnsi="Arial" w:cs="Arial"/>
        </w:rPr>
        <w:t>is</w:t>
      </w:r>
      <w:r w:rsidRPr="00FD6ABF">
        <w:rPr>
          <w:rFonts w:ascii="Arial" w:hAnsi="Arial" w:cs="Arial"/>
        </w:rPr>
        <w:t xml:space="preserve"> Community Profile. This is particularly true in consideration of the </w:t>
      </w:r>
      <w:r>
        <w:rPr>
          <w:rFonts w:ascii="Arial" w:hAnsi="Arial" w:cs="Arial"/>
        </w:rPr>
        <w:t>scale</w:t>
      </w:r>
      <w:r w:rsidRPr="00FD6ABF">
        <w:rPr>
          <w:rFonts w:ascii="Arial" w:hAnsi="Arial" w:cs="Arial"/>
        </w:rPr>
        <w:t xml:space="preserve"> of inequality experienced by people, evidenced by the variation in deprivation across the borough and direct health outcomes, such as average life expectancy rates.</w:t>
      </w:r>
    </w:p>
    <w:p w14:paraId="3EBAA029" w14:textId="77777777" w:rsidR="00D135B0" w:rsidRPr="00FD6ABF" w:rsidRDefault="00D135B0" w:rsidP="00D135B0">
      <w:pPr>
        <w:pStyle w:val="NoSpacing"/>
        <w:rPr>
          <w:rFonts w:ascii="Arial" w:hAnsi="Arial" w:cs="Arial"/>
          <w:b/>
        </w:rPr>
      </w:pPr>
    </w:p>
    <w:p w14:paraId="189F2388" w14:textId="77777777" w:rsidR="00D135B0" w:rsidRPr="00FD6ABF" w:rsidRDefault="00D135B0" w:rsidP="00D135B0">
      <w:pPr>
        <w:autoSpaceDE w:val="0"/>
        <w:autoSpaceDN w:val="0"/>
        <w:adjustRightInd w:val="0"/>
        <w:spacing w:after="0" w:line="240" w:lineRule="auto"/>
        <w:rPr>
          <w:rFonts w:ascii="Arial" w:hAnsi="Arial" w:cs="Arial"/>
          <w:color w:val="365F91" w:themeColor="accent1" w:themeShade="BF"/>
          <w:sz w:val="24"/>
          <w:szCs w:val="24"/>
        </w:rPr>
      </w:pPr>
      <w:r w:rsidRPr="00FD6ABF">
        <w:rPr>
          <w:rFonts w:ascii="Arial" w:hAnsi="Arial" w:cs="Arial"/>
          <w:color w:val="365F91" w:themeColor="accent1" w:themeShade="BF"/>
          <w:sz w:val="24"/>
          <w:szCs w:val="24"/>
        </w:rPr>
        <w:t xml:space="preserve">Health </w:t>
      </w:r>
      <w:r>
        <w:rPr>
          <w:rFonts w:ascii="Arial" w:hAnsi="Arial" w:cs="Arial"/>
          <w:color w:val="365F91" w:themeColor="accent1" w:themeShade="BF"/>
          <w:sz w:val="24"/>
          <w:szCs w:val="24"/>
        </w:rPr>
        <w:t>i</w:t>
      </w:r>
      <w:r w:rsidRPr="00FD6ABF">
        <w:rPr>
          <w:rFonts w:ascii="Arial" w:hAnsi="Arial" w:cs="Arial"/>
          <w:color w:val="365F91" w:themeColor="accent1" w:themeShade="BF"/>
          <w:sz w:val="24"/>
          <w:szCs w:val="24"/>
        </w:rPr>
        <w:t>nequality</w:t>
      </w:r>
    </w:p>
    <w:p w14:paraId="2C22DBB2" w14:textId="77777777" w:rsidR="00D135B0" w:rsidRDefault="00D135B0" w:rsidP="00D135B0">
      <w:pPr>
        <w:pStyle w:val="NoSpacing"/>
        <w:rPr>
          <w:rFonts w:ascii="Arial" w:hAnsi="Arial" w:cs="Arial"/>
        </w:rPr>
      </w:pPr>
    </w:p>
    <w:p w14:paraId="5052F37C" w14:textId="77777777" w:rsidR="00D135B0" w:rsidRDefault="00D135B0" w:rsidP="00D135B0">
      <w:pPr>
        <w:pStyle w:val="NoSpacing"/>
        <w:numPr>
          <w:ilvl w:val="0"/>
          <w:numId w:val="22"/>
        </w:numPr>
        <w:rPr>
          <w:rFonts w:ascii="Arial" w:hAnsi="Arial" w:cs="Arial"/>
        </w:rPr>
      </w:pPr>
      <w:r w:rsidRPr="00FD6ABF">
        <w:rPr>
          <w:rFonts w:ascii="Arial" w:hAnsi="Arial" w:cs="Arial"/>
        </w:rPr>
        <w:t>Latest outturns for life expectancy in the borough reveal an average age of 76.6 years for men, below the Kent (78.8) and national (78.7) averages</w:t>
      </w:r>
      <w:r>
        <w:rPr>
          <w:rFonts w:ascii="Arial" w:hAnsi="Arial" w:cs="Arial"/>
        </w:rPr>
        <w:t>,</w:t>
      </w:r>
      <w:r w:rsidRPr="00FD6ABF">
        <w:rPr>
          <w:rFonts w:ascii="Arial" w:hAnsi="Arial" w:cs="Arial"/>
        </w:rPr>
        <w:t xml:space="preserve"> and the fourth lowest in the </w:t>
      </w:r>
      <w:proofErr w:type="gramStart"/>
      <w:r w:rsidRPr="00FD6ABF">
        <w:rPr>
          <w:rFonts w:ascii="Arial" w:hAnsi="Arial" w:cs="Arial"/>
        </w:rPr>
        <w:t>south east</w:t>
      </w:r>
      <w:proofErr w:type="gramEnd"/>
      <w:r w:rsidRPr="00FD6ABF">
        <w:rPr>
          <w:rFonts w:ascii="Arial" w:hAnsi="Arial" w:cs="Arial"/>
        </w:rPr>
        <w:t xml:space="preserve"> region. Similarly, </w:t>
      </w:r>
      <w:r w:rsidRPr="00D42ABD">
        <w:rPr>
          <w:rFonts w:ascii="Arial" w:hAnsi="Arial" w:cs="Arial"/>
        </w:rPr>
        <w:t xml:space="preserve">female life expectancy at 82.5 years is below Kent (83.0) and national averages (82.8), and presents the 14th lowest figure in the </w:t>
      </w:r>
      <w:proofErr w:type="gramStart"/>
      <w:r w:rsidRPr="00D42ABD">
        <w:rPr>
          <w:rFonts w:ascii="Arial" w:hAnsi="Arial" w:cs="Arial"/>
        </w:rPr>
        <w:t>south east</w:t>
      </w:r>
      <w:proofErr w:type="gramEnd"/>
      <w:r w:rsidRPr="00D42ABD">
        <w:rPr>
          <w:rFonts w:ascii="Arial" w:hAnsi="Arial" w:cs="Arial"/>
        </w:rPr>
        <w:t xml:space="preserve"> (</w:t>
      </w:r>
      <w:r w:rsidRPr="00D42ABD">
        <w:rPr>
          <w:rFonts w:ascii="Arial" w:hAnsi="Arial" w:cs="Arial"/>
          <w:b/>
          <w:bCs/>
        </w:rPr>
        <w:t>Table 25</w:t>
      </w:r>
      <w:r w:rsidRPr="00D42ABD">
        <w:rPr>
          <w:rFonts w:ascii="Arial" w:hAnsi="Arial" w:cs="Arial"/>
        </w:rPr>
        <w:t>).</w:t>
      </w:r>
    </w:p>
    <w:p w14:paraId="1953C240" w14:textId="77777777" w:rsidR="00D135B0" w:rsidRPr="00FD6ABF" w:rsidRDefault="00D135B0" w:rsidP="00D135B0">
      <w:pPr>
        <w:pStyle w:val="NoSpacing"/>
        <w:numPr>
          <w:ilvl w:val="0"/>
          <w:numId w:val="22"/>
        </w:numPr>
        <w:rPr>
          <w:rFonts w:ascii="Arial" w:hAnsi="Arial" w:cs="Arial"/>
        </w:rPr>
      </w:pPr>
      <w:r w:rsidRPr="00FD6ABF">
        <w:rPr>
          <w:rFonts w:ascii="Arial" w:hAnsi="Arial" w:cs="Arial"/>
        </w:rPr>
        <w:t xml:space="preserve">Gravesham also has evident spatial inequalities in terms of health outcomes, with the lowest life expectancy experienced in the north of the borough. There is a difference of 9.1 years in male life expectancy across Gravesham’s population, with a female life expectancy inequality of 4.6 years. </w:t>
      </w:r>
    </w:p>
    <w:p w14:paraId="3D4FE1CC" w14:textId="77777777" w:rsidR="00D135B0" w:rsidRPr="00FD6ABF" w:rsidRDefault="00D135B0" w:rsidP="00D135B0">
      <w:pPr>
        <w:pStyle w:val="NoSpacing"/>
        <w:rPr>
          <w:rFonts w:ascii="Arial" w:hAnsi="Arial" w:cs="Arial"/>
          <w:color w:val="365F91" w:themeColor="accent1" w:themeShade="BF"/>
        </w:rPr>
      </w:pPr>
    </w:p>
    <w:p w14:paraId="3C963310" w14:textId="77777777" w:rsidR="00D135B0" w:rsidRDefault="00D135B0" w:rsidP="00D135B0">
      <w:pPr>
        <w:pStyle w:val="NoSpacing"/>
        <w:rPr>
          <w:rFonts w:ascii="Arial" w:hAnsi="Arial" w:cs="Arial"/>
          <w:color w:val="365F91" w:themeColor="accent1" w:themeShade="BF"/>
          <w:sz w:val="24"/>
          <w:szCs w:val="24"/>
        </w:rPr>
      </w:pPr>
      <w:r w:rsidRPr="00FD6ABF">
        <w:rPr>
          <w:rFonts w:ascii="Arial" w:hAnsi="Arial" w:cs="Arial"/>
          <w:color w:val="365F91" w:themeColor="accent1" w:themeShade="BF"/>
          <w:sz w:val="24"/>
          <w:szCs w:val="24"/>
        </w:rPr>
        <w:t xml:space="preserve">Healthy </w:t>
      </w:r>
      <w:r>
        <w:rPr>
          <w:rFonts w:ascii="Arial" w:hAnsi="Arial" w:cs="Arial"/>
          <w:color w:val="365F91" w:themeColor="accent1" w:themeShade="BF"/>
          <w:sz w:val="24"/>
          <w:szCs w:val="24"/>
        </w:rPr>
        <w:t>l</w:t>
      </w:r>
      <w:r w:rsidRPr="00FD6ABF">
        <w:rPr>
          <w:rFonts w:ascii="Arial" w:hAnsi="Arial" w:cs="Arial"/>
          <w:color w:val="365F91" w:themeColor="accent1" w:themeShade="BF"/>
          <w:sz w:val="24"/>
          <w:szCs w:val="24"/>
        </w:rPr>
        <w:t>iving</w:t>
      </w:r>
    </w:p>
    <w:p w14:paraId="6931D27D" w14:textId="77777777" w:rsidR="00D135B0" w:rsidRPr="00FD6ABF" w:rsidRDefault="00D135B0" w:rsidP="00D135B0">
      <w:pPr>
        <w:pStyle w:val="NoSpacing"/>
        <w:rPr>
          <w:rFonts w:ascii="Arial" w:hAnsi="Arial" w:cs="Arial"/>
          <w:color w:val="365F91" w:themeColor="accent1" w:themeShade="BF"/>
        </w:rPr>
      </w:pPr>
    </w:p>
    <w:p w14:paraId="3764F1E8" w14:textId="77777777" w:rsidR="00D135B0" w:rsidRDefault="00D135B0" w:rsidP="00D135B0">
      <w:pPr>
        <w:pStyle w:val="NoSpacing"/>
        <w:numPr>
          <w:ilvl w:val="0"/>
          <w:numId w:val="23"/>
        </w:numPr>
        <w:rPr>
          <w:rFonts w:ascii="Arial" w:hAnsi="Arial" w:cs="Arial"/>
        </w:rPr>
      </w:pPr>
      <w:r w:rsidRPr="00FD6ABF">
        <w:rPr>
          <w:rFonts w:ascii="Arial" w:hAnsi="Arial" w:cs="Arial"/>
        </w:rPr>
        <w:t xml:space="preserve">38.2% of Year 6 (10-11) children in Gravesham are identified as overweight or obese, above the Kent (35%) and national averages (36.6%), and presents the sixth highest figure in the </w:t>
      </w:r>
      <w:proofErr w:type="gramStart"/>
      <w:r w:rsidRPr="00FD6ABF">
        <w:rPr>
          <w:rFonts w:ascii="Arial" w:hAnsi="Arial" w:cs="Arial"/>
        </w:rPr>
        <w:t>south east</w:t>
      </w:r>
      <w:proofErr w:type="gramEnd"/>
      <w:r w:rsidRPr="00FD6ABF">
        <w:rPr>
          <w:rFonts w:ascii="Arial" w:hAnsi="Arial" w:cs="Arial"/>
        </w:rPr>
        <w:t xml:space="preserve"> region. For adults in the borough, 68.3% are identified as </w:t>
      </w:r>
      <w:r w:rsidRPr="00947B33">
        <w:rPr>
          <w:rFonts w:ascii="Arial" w:hAnsi="Arial" w:cs="Arial"/>
        </w:rPr>
        <w:t xml:space="preserve">overweight or obese. This is the ninth highest rate in the </w:t>
      </w:r>
      <w:proofErr w:type="gramStart"/>
      <w:r w:rsidRPr="00947B33">
        <w:rPr>
          <w:rFonts w:ascii="Arial" w:hAnsi="Arial" w:cs="Arial"/>
        </w:rPr>
        <w:t>south east</w:t>
      </w:r>
      <w:proofErr w:type="gramEnd"/>
      <w:r w:rsidRPr="00947B33">
        <w:rPr>
          <w:rFonts w:ascii="Arial" w:hAnsi="Arial" w:cs="Arial"/>
        </w:rPr>
        <w:t xml:space="preserve"> region, ahead of both Kent (65.8%) and national (63.8%) averages (</w:t>
      </w:r>
      <w:r w:rsidRPr="00947B33">
        <w:rPr>
          <w:rFonts w:ascii="Arial" w:hAnsi="Arial" w:cs="Arial"/>
          <w:b/>
          <w:bCs/>
        </w:rPr>
        <w:t>Table 26</w:t>
      </w:r>
      <w:r w:rsidRPr="00947B33">
        <w:rPr>
          <w:rFonts w:ascii="Arial" w:hAnsi="Arial" w:cs="Arial"/>
        </w:rPr>
        <w:t>).</w:t>
      </w:r>
    </w:p>
    <w:p w14:paraId="36A12BB8" w14:textId="77777777" w:rsidR="00D135B0" w:rsidRDefault="00D135B0" w:rsidP="00D135B0">
      <w:pPr>
        <w:pStyle w:val="NoSpacing"/>
        <w:numPr>
          <w:ilvl w:val="0"/>
          <w:numId w:val="23"/>
        </w:numPr>
        <w:rPr>
          <w:rFonts w:ascii="Arial" w:hAnsi="Arial" w:cs="Arial"/>
        </w:rPr>
      </w:pPr>
      <w:r w:rsidRPr="00FD6ABF">
        <w:rPr>
          <w:rFonts w:ascii="Arial" w:hAnsi="Arial" w:cs="Arial"/>
        </w:rPr>
        <w:t xml:space="preserve">Linked to levels of obesity is the prevalence for physical activity amongst the resident population. In this area again, Gravesham finds itself worse off in comparison to local, regional, and national averages.  In 2022, 28.8% of adults in Gravesham were identified as ‘physically inactive’ (less than 30 minutes of physical activity per week). This represents the highest outturn in the county, and in the top-30 worst performing areas in England, significantly in advance of Kent (20.6%), </w:t>
      </w:r>
      <w:proofErr w:type="gramStart"/>
      <w:r w:rsidRPr="00FD6ABF">
        <w:rPr>
          <w:rFonts w:ascii="Arial" w:hAnsi="Arial" w:cs="Arial"/>
        </w:rPr>
        <w:t>south east</w:t>
      </w:r>
      <w:proofErr w:type="gramEnd"/>
      <w:r w:rsidRPr="00FD6ABF">
        <w:rPr>
          <w:rFonts w:ascii="Arial" w:hAnsi="Arial" w:cs="Arial"/>
        </w:rPr>
        <w:t xml:space="preserve"> (18.8%) and national (22.3%) positions.</w:t>
      </w:r>
    </w:p>
    <w:p w14:paraId="601714E6" w14:textId="77777777" w:rsidR="00D135B0" w:rsidRDefault="00D135B0" w:rsidP="00D135B0">
      <w:pPr>
        <w:pStyle w:val="NoSpacing"/>
        <w:numPr>
          <w:ilvl w:val="0"/>
          <w:numId w:val="23"/>
        </w:numPr>
        <w:rPr>
          <w:rFonts w:ascii="Arial" w:hAnsi="Arial" w:cs="Arial"/>
        </w:rPr>
      </w:pPr>
      <w:r w:rsidRPr="00FD6ABF">
        <w:rPr>
          <w:rFonts w:ascii="Arial" w:hAnsi="Arial" w:cs="Arial"/>
        </w:rPr>
        <w:t xml:space="preserve">Gravesham has successful recorded reductions in smoking prevalence in recent years. As </w:t>
      </w:r>
      <w:proofErr w:type="gramStart"/>
      <w:r w:rsidRPr="00FD6ABF">
        <w:rPr>
          <w:rFonts w:ascii="Arial" w:hAnsi="Arial" w:cs="Arial"/>
        </w:rPr>
        <w:t>at</w:t>
      </w:r>
      <w:proofErr w:type="gramEnd"/>
      <w:r w:rsidRPr="00FD6ABF">
        <w:rPr>
          <w:rFonts w:ascii="Arial" w:hAnsi="Arial" w:cs="Arial"/>
        </w:rPr>
        <w:t xml:space="preserve"> 2023, the borough presented a rate of 8.3% for smoking prevalence in adults, the third lowest in Kent, and a rate better than the county (11.6%), regional (11.5%) and national average at 12.7%. Conversely, Gravesham is above comparable positions for the rate of women smoking at the time of giving birth. Whilst directly in line with the Ke</w:t>
      </w:r>
      <w:r>
        <w:rPr>
          <w:rFonts w:ascii="Arial" w:hAnsi="Arial" w:cs="Arial"/>
        </w:rPr>
        <w:t>n</w:t>
      </w:r>
      <w:r w:rsidRPr="00FD6ABF">
        <w:rPr>
          <w:rFonts w:ascii="Arial" w:hAnsi="Arial" w:cs="Arial"/>
        </w:rPr>
        <w:t>t average</w:t>
      </w:r>
      <w:r>
        <w:rPr>
          <w:rFonts w:ascii="Arial" w:hAnsi="Arial" w:cs="Arial"/>
        </w:rPr>
        <w:t xml:space="preserve"> (1</w:t>
      </w:r>
      <w:r w:rsidRPr="00FD6ABF">
        <w:rPr>
          <w:rFonts w:ascii="Arial" w:hAnsi="Arial" w:cs="Arial"/>
        </w:rPr>
        <w:t>0.3%</w:t>
      </w:r>
      <w:r>
        <w:rPr>
          <w:rFonts w:ascii="Arial" w:hAnsi="Arial" w:cs="Arial"/>
        </w:rPr>
        <w:t>)</w:t>
      </w:r>
      <w:r w:rsidRPr="00FD6ABF">
        <w:rPr>
          <w:rFonts w:ascii="Arial" w:hAnsi="Arial" w:cs="Arial"/>
        </w:rPr>
        <w:t>, Gravesham’s figure is ahead of regional (8.1%) and national average</w:t>
      </w:r>
      <w:r>
        <w:rPr>
          <w:rFonts w:ascii="Arial" w:hAnsi="Arial" w:cs="Arial"/>
        </w:rPr>
        <w:t>s (8.</w:t>
      </w:r>
      <w:r w:rsidRPr="00FD6ABF">
        <w:rPr>
          <w:rFonts w:ascii="Arial" w:hAnsi="Arial" w:cs="Arial"/>
        </w:rPr>
        <w:t>8%</w:t>
      </w:r>
      <w:r>
        <w:rPr>
          <w:rFonts w:ascii="Arial" w:hAnsi="Arial" w:cs="Arial"/>
        </w:rPr>
        <w:t>)</w:t>
      </w:r>
      <w:r w:rsidRPr="00FD6ABF">
        <w:rPr>
          <w:rFonts w:ascii="Arial" w:hAnsi="Arial" w:cs="Arial"/>
        </w:rPr>
        <w:t>.</w:t>
      </w:r>
    </w:p>
    <w:p w14:paraId="70899A56" w14:textId="77777777" w:rsidR="00D135B0" w:rsidRDefault="00D135B0" w:rsidP="00D135B0">
      <w:pPr>
        <w:pStyle w:val="NoSpacing"/>
        <w:numPr>
          <w:ilvl w:val="0"/>
          <w:numId w:val="23"/>
        </w:numPr>
        <w:rPr>
          <w:rFonts w:ascii="Arial" w:hAnsi="Arial" w:cs="Arial"/>
        </w:rPr>
      </w:pPr>
      <w:r w:rsidRPr="00FD6ABF">
        <w:rPr>
          <w:rFonts w:ascii="Arial" w:hAnsi="Arial" w:cs="Arial"/>
        </w:rPr>
        <w:t xml:space="preserve">In terms of preventable mortality rates, Gravesham has a higher under age 75 rate for; all causes, cardiovascular causes, and cancer </w:t>
      </w:r>
      <w:r>
        <w:rPr>
          <w:rFonts w:ascii="Arial" w:hAnsi="Arial" w:cs="Arial"/>
        </w:rPr>
        <w:t xml:space="preserve">when compared to </w:t>
      </w:r>
      <w:r w:rsidRPr="00FD6ABF">
        <w:rPr>
          <w:rFonts w:ascii="Arial" w:hAnsi="Arial" w:cs="Arial"/>
        </w:rPr>
        <w:t xml:space="preserve">Kent, regional and national averages. At 208.0 per 100,000, the rate of mortality from all causes of death considered preventable is the ninth highest in the </w:t>
      </w:r>
      <w:proofErr w:type="gramStart"/>
      <w:r w:rsidRPr="00FD6ABF">
        <w:rPr>
          <w:rFonts w:ascii="Arial" w:hAnsi="Arial" w:cs="Arial"/>
        </w:rPr>
        <w:t>south east</w:t>
      </w:r>
      <w:proofErr w:type="gramEnd"/>
      <w:r w:rsidRPr="00FD6ABF">
        <w:rPr>
          <w:rFonts w:ascii="Arial" w:hAnsi="Arial" w:cs="Arial"/>
        </w:rPr>
        <w:t xml:space="preserve"> region, ahead of Kent (184.8), regional (156.7) and national (183.2) positions. </w:t>
      </w:r>
    </w:p>
    <w:p w14:paraId="69F2CCD3" w14:textId="77777777" w:rsidR="00D135B0" w:rsidRDefault="00D135B0" w:rsidP="00D135B0">
      <w:pPr>
        <w:pStyle w:val="NoSpacing"/>
        <w:ind w:left="720"/>
        <w:rPr>
          <w:rFonts w:ascii="Arial" w:hAnsi="Arial" w:cs="Arial"/>
        </w:rPr>
      </w:pPr>
    </w:p>
    <w:p w14:paraId="22A8B6F6" w14:textId="77777777" w:rsidR="00D135B0" w:rsidRDefault="00D135B0" w:rsidP="00D135B0">
      <w:pPr>
        <w:pStyle w:val="NoSpacing"/>
        <w:ind w:left="720"/>
        <w:rPr>
          <w:rFonts w:ascii="Arial" w:hAnsi="Arial" w:cs="Arial"/>
        </w:rPr>
      </w:pPr>
    </w:p>
    <w:p w14:paraId="3D7FBBF5" w14:textId="77777777" w:rsidR="00D135B0" w:rsidRPr="00FD6ABF" w:rsidRDefault="00D135B0" w:rsidP="00D135B0">
      <w:pPr>
        <w:pStyle w:val="NoSpacing"/>
        <w:ind w:left="720"/>
        <w:rPr>
          <w:rFonts w:ascii="Arial" w:hAnsi="Arial" w:cs="Arial"/>
        </w:rPr>
      </w:pPr>
    </w:p>
    <w:p w14:paraId="35092FF3" w14:textId="77777777" w:rsidR="00D135B0" w:rsidRDefault="00D135B0" w:rsidP="00D135B0">
      <w:pPr>
        <w:pStyle w:val="NoSpacing"/>
        <w:rPr>
          <w:rFonts w:ascii="Arial" w:hAnsi="Arial" w:cs="Arial"/>
          <w:color w:val="365F91" w:themeColor="accent1" w:themeShade="BF"/>
          <w:sz w:val="24"/>
          <w:szCs w:val="24"/>
        </w:rPr>
      </w:pPr>
    </w:p>
    <w:p w14:paraId="69D2211E" w14:textId="5C05967E" w:rsidR="00D135B0" w:rsidRDefault="00D135B0" w:rsidP="00D135B0">
      <w:pPr>
        <w:pStyle w:val="NoSpacing"/>
        <w:rPr>
          <w:rFonts w:ascii="Arial" w:hAnsi="Arial" w:cs="Arial"/>
          <w:color w:val="365F91" w:themeColor="accent1" w:themeShade="BF"/>
          <w:sz w:val="24"/>
          <w:szCs w:val="24"/>
        </w:rPr>
      </w:pPr>
    </w:p>
    <w:p w14:paraId="5D6B4DFE" w14:textId="77777777" w:rsidR="00D135B0" w:rsidRDefault="00D135B0" w:rsidP="00D135B0">
      <w:pPr>
        <w:pStyle w:val="NoSpacing"/>
        <w:rPr>
          <w:rFonts w:ascii="Arial" w:hAnsi="Arial" w:cs="Arial"/>
          <w:color w:val="365F91" w:themeColor="accent1" w:themeShade="BF"/>
          <w:sz w:val="24"/>
          <w:szCs w:val="24"/>
        </w:rPr>
      </w:pPr>
    </w:p>
    <w:p w14:paraId="685A6F82" w14:textId="150B33E2" w:rsidR="00D135B0" w:rsidRDefault="00D135B0" w:rsidP="00D135B0">
      <w:pPr>
        <w:pStyle w:val="NoSpacing"/>
        <w:rPr>
          <w:rFonts w:ascii="Arial" w:hAnsi="Arial" w:cs="Arial"/>
          <w:color w:val="365F91" w:themeColor="accent1" w:themeShade="BF"/>
          <w:sz w:val="24"/>
          <w:szCs w:val="24"/>
        </w:rPr>
      </w:pPr>
      <w:r w:rsidRPr="00FD6ABF">
        <w:rPr>
          <w:rFonts w:ascii="Arial" w:hAnsi="Arial" w:cs="Arial"/>
          <w:color w:val="365F91" w:themeColor="accent1" w:themeShade="BF"/>
          <w:sz w:val="24"/>
          <w:szCs w:val="24"/>
        </w:rPr>
        <w:lastRenderedPageBreak/>
        <w:t xml:space="preserve">Healthy </w:t>
      </w:r>
      <w:r>
        <w:rPr>
          <w:rFonts w:ascii="Arial" w:hAnsi="Arial" w:cs="Arial"/>
          <w:color w:val="365F91" w:themeColor="accent1" w:themeShade="BF"/>
          <w:sz w:val="24"/>
          <w:szCs w:val="24"/>
        </w:rPr>
        <w:t>s</w:t>
      </w:r>
      <w:r w:rsidRPr="00FD6ABF">
        <w:rPr>
          <w:rFonts w:ascii="Arial" w:hAnsi="Arial" w:cs="Arial"/>
          <w:color w:val="365F91" w:themeColor="accent1" w:themeShade="BF"/>
          <w:sz w:val="24"/>
          <w:szCs w:val="24"/>
        </w:rPr>
        <w:t>ociety</w:t>
      </w:r>
    </w:p>
    <w:p w14:paraId="7074AF55" w14:textId="77777777" w:rsidR="00D135B0" w:rsidRPr="00FD6ABF" w:rsidRDefault="00D135B0" w:rsidP="00D135B0">
      <w:pPr>
        <w:pStyle w:val="NoSpacing"/>
        <w:rPr>
          <w:rFonts w:ascii="Arial" w:hAnsi="Arial" w:cs="Arial"/>
          <w:color w:val="365F91" w:themeColor="accent1" w:themeShade="BF"/>
        </w:rPr>
      </w:pPr>
    </w:p>
    <w:p w14:paraId="4777394E" w14:textId="77777777" w:rsidR="00D135B0" w:rsidRDefault="00D135B0" w:rsidP="00D135B0">
      <w:pPr>
        <w:pStyle w:val="NoSpacing"/>
        <w:numPr>
          <w:ilvl w:val="0"/>
          <w:numId w:val="24"/>
        </w:numPr>
        <w:rPr>
          <w:rFonts w:ascii="Arial" w:hAnsi="Arial" w:cs="Arial"/>
        </w:rPr>
      </w:pPr>
      <w:r w:rsidRPr="00FD6ABF">
        <w:rPr>
          <w:rFonts w:ascii="Arial" w:hAnsi="Arial" w:cs="Arial"/>
        </w:rPr>
        <w:t xml:space="preserve">The latest Indices of Multiple Deprivation study identified Gravesham as the fifth most deprived local authority in Kent, and 119th (317) nationally, with deprivation concentrated in neighbourhoods in the north of the borough.  </w:t>
      </w:r>
    </w:p>
    <w:p w14:paraId="43DE2EB1" w14:textId="77777777" w:rsidR="00D135B0" w:rsidRDefault="00D135B0" w:rsidP="00D135B0">
      <w:pPr>
        <w:pStyle w:val="NoSpacing"/>
        <w:numPr>
          <w:ilvl w:val="0"/>
          <w:numId w:val="24"/>
        </w:numPr>
        <w:rPr>
          <w:rFonts w:ascii="Arial" w:hAnsi="Arial" w:cs="Arial"/>
        </w:rPr>
      </w:pPr>
      <w:r w:rsidRPr="00FD6ABF">
        <w:rPr>
          <w:rFonts w:ascii="Arial" w:hAnsi="Arial" w:cs="Arial"/>
        </w:rPr>
        <w:t xml:space="preserve">At a ‘Lower Super Output Area’ (1,500 residents), pockets of Northfleet and </w:t>
      </w:r>
      <w:proofErr w:type="spellStart"/>
      <w:r w:rsidRPr="00FD6ABF">
        <w:rPr>
          <w:rFonts w:ascii="Arial" w:hAnsi="Arial" w:cs="Arial"/>
        </w:rPr>
        <w:t>Westcourt</w:t>
      </w:r>
      <w:proofErr w:type="spellEnd"/>
      <w:r w:rsidRPr="00FD6ABF">
        <w:rPr>
          <w:rFonts w:ascii="Arial" w:hAnsi="Arial" w:cs="Arial"/>
        </w:rPr>
        <w:t xml:space="preserve"> are within the top-10% most deprived in England, with LSOAs in </w:t>
      </w:r>
      <w:proofErr w:type="spellStart"/>
      <w:r w:rsidRPr="00FD6ABF">
        <w:rPr>
          <w:rFonts w:ascii="Arial" w:hAnsi="Arial" w:cs="Arial"/>
        </w:rPr>
        <w:t>Singlewell</w:t>
      </w:r>
      <w:proofErr w:type="spellEnd"/>
      <w:r w:rsidRPr="00FD6ABF">
        <w:rPr>
          <w:rFonts w:ascii="Arial" w:hAnsi="Arial" w:cs="Arial"/>
        </w:rPr>
        <w:t xml:space="preserve">, Central and Riverside ward also featuring in Kent’s top-10% most-deprived areas. Conversely, parts of rural Gravesham are in the least deprived areas nationally.  </w:t>
      </w:r>
    </w:p>
    <w:p w14:paraId="3DB20F79" w14:textId="77777777" w:rsidR="00D135B0" w:rsidRDefault="00D135B0" w:rsidP="00D135B0">
      <w:pPr>
        <w:pStyle w:val="NoSpacing"/>
        <w:numPr>
          <w:ilvl w:val="0"/>
          <w:numId w:val="24"/>
        </w:numPr>
        <w:rPr>
          <w:rFonts w:ascii="Arial" w:hAnsi="Arial" w:cs="Arial"/>
        </w:rPr>
      </w:pPr>
      <w:r w:rsidRPr="00FD6ABF">
        <w:rPr>
          <w:rFonts w:ascii="Arial" w:hAnsi="Arial" w:cs="Arial"/>
        </w:rPr>
        <w:t xml:space="preserve">In terms of specific measured domains, 59% of neighbourhoods in Gravesham fall within the top 20% most deprived in terms of the crime domain. A high proportion of neighbourhoods also rank highly for education, </w:t>
      </w:r>
      <w:proofErr w:type="gramStart"/>
      <w:r w:rsidRPr="00FD6ABF">
        <w:rPr>
          <w:rFonts w:ascii="Arial" w:hAnsi="Arial" w:cs="Arial"/>
        </w:rPr>
        <w:t>skills</w:t>
      </w:r>
      <w:proofErr w:type="gramEnd"/>
      <w:r w:rsidRPr="00FD6ABF">
        <w:rPr>
          <w:rFonts w:ascii="Arial" w:hAnsi="Arial" w:cs="Arial"/>
        </w:rPr>
        <w:t xml:space="preserve"> and training deprivation (28%), income (17%) and employment (16%).</w:t>
      </w:r>
    </w:p>
    <w:p w14:paraId="73086042" w14:textId="77777777" w:rsidR="00D135B0" w:rsidRDefault="00D135B0" w:rsidP="00D135B0">
      <w:pPr>
        <w:pStyle w:val="NoSpacing"/>
        <w:numPr>
          <w:ilvl w:val="0"/>
          <w:numId w:val="24"/>
        </w:numPr>
        <w:rPr>
          <w:rFonts w:ascii="Arial" w:hAnsi="Arial" w:cs="Arial"/>
        </w:rPr>
      </w:pPr>
      <w:r w:rsidRPr="00FD6ABF">
        <w:rPr>
          <w:rFonts w:ascii="Arial" w:hAnsi="Arial" w:cs="Arial"/>
        </w:rPr>
        <w:t xml:space="preserve">As of March 2023, 43.5% of households were in relative poverty in Gravesham (defined as 60% of the median household income), equivalent to 2,818 households. In addition, 859 households are also in food poverty i.e. when a household’s total minimum acceptable food expenditure is higher than their income after ‘priority costs’. </w:t>
      </w:r>
    </w:p>
    <w:p w14:paraId="2361B2DF" w14:textId="77777777" w:rsidR="00D135B0" w:rsidRPr="00947B33" w:rsidRDefault="00D135B0" w:rsidP="00D135B0">
      <w:pPr>
        <w:pStyle w:val="NoSpacing"/>
        <w:numPr>
          <w:ilvl w:val="0"/>
          <w:numId w:val="24"/>
        </w:numPr>
        <w:rPr>
          <w:rFonts w:ascii="Arial" w:hAnsi="Arial" w:cs="Arial"/>
        </w:rPr>
      </w:pPr>
      <w:r w:rsidRPr="00FD6ABF">
        <w:rPr>
          <w:rFonts w:ascii="Arial" w:hAnsi="Arial" w:cs="Arial"/>
        </w:rPr>
        <w:t xml:space="preserve">Within Gravesham, there has been a marked increase in the rate of people providing unpaid care. Census 2021 reveals that </w:t>
      </w:r>
      <w:r>
        <w:rPr>
          <w:rFonts w:ascii="Arial" w:hAnsi="Arial" w:cs="Arial"/>
        </w:rPr>
        <w:t>2,965 (</w:t>
      </w:r>
      <w:r w:rsidRPr="00FD6ABF">
        <w:rPr>
          <w:rFonts w:ascii="Arial" w:hAnsi="Arial" w:cs="Arial"/>
        </w:rPr>
        <w:t>3%</w:t>
      </w:r>
      <w:r>
        <w:rPr>
          <w:rFonts w:ascii="Arial" w:hAnsi="Arial" w:cs="Arial"/>
        </w:rPr>
        <w:t xml:space="preserve">) </w:t>
      </w:r>
      <w:r w:rsidRPr="00FD6ABF">
        <w:rPr>
          <w:rFonts w:ascii="Arial" w:hAnsi="Arial" w:cs="Arial"/>
        </w:rPr>
        <w:t xml:space="preserve">of residents are providing over 50 hours a week in unpaid care, presenting a second successive rise in Census results. In 2001, Gravesham was behind the national average in this metric, yet by 2021 now finds itself </w:t>
      </w:r>
      <w:r>
        <w:rPr>
          <w:rFonts w:ascii="Arial" w:hAnsi="Arial" w:cs="Arial"/>
        </w:rPr>
        <w:t xml:space="preserve">proportionately </w:t>
      </w:r>
      <w:r w:rsidRPr="00FD6ABF">
        <w:rPr>
          <w:rFonts w:ascii="Arial" w:hAnsi="Arial" w:cs="Arial"/>
        </w:rPr>
        <w:t>ahead of Kent (2.9%), regional (2.4%) and national (2.6%) aver</w:t>
      </w:r>
      <w:r w:rsidRPr="00947B33">
        <w:rPr>
          <w:rFonts w:ascii="Arial" w:hAnsi="Arial" w:cs="Arial"/>
        </w:rPr>
        <w:t>ages (</w:t>
      </w:r>
      <w:r w:rsidRPr="00947B33">
        <w:rPr>
          <w:rFonts w:ascii="Arial" w:hAnsi="Arial" w:cs="Arial"/>
          <w:b/>
          <w:bCs/>
        </w:rPr>
        <w:t>Table 27</w:t>
      </w:r>
      <w:r w:rsidRPr="001C148E">
        <w:rPr>
          <w:rFonts w:ascii="Arial" w:hAnsi="Arial" w:cs="Arial"/>
        </w:rPr>
        <w:t>).</w:t>
      </w:r>
    </w:p>
    <w:p w14:paraId="7617E841" w14:textId="77777777" w:rsidR="00D135B0" w:rsidRPr="00947B33" w:rsidRDefault="00D135B0" w:rsidP="00D135B0">
      <w:pPr>
        <w:pStyle w:val="NoSpacing"/>
        <w:numPr>
          <w:ilvl w:val="0"/>
          <w:numId w:val="24"/>
        </w:numPr>
        <w:rPr>
          <w:rFonts w:ascii="Arial" w:hAnsi="Arial" w:cs="Arial"/>
        </w:rPr>
      </w:pPr>
      <w:r w:rsidRPr="00947B33">
        <w:rPr>
          <w:rFonts w:ascii="Arial" w:hAnsi="Arial" w:cs="Arial"/>
        </w:rPr>
        <w:t xml:space="preserve">The ONS </w:t>
      </w:r>
      <w:r>
        <w:rPr>
          <w:rFonts w:ascii="Arial" w:hAnsi="Arial" w:cs="Arial"/>
        </w:rPr>
        <w:t>surveys</w:t>
      </w:r>
      <w:r w:rsidRPr="00947B33">
        <w:rPr>
          <w:rFonts w:ascii="Arial" w:hAnsi="Arial" w:cs="Arial"/>
        </w:rPr>
        <w:t xml:space="preserve"> progress on how we are doing as individuals, as communities and as a nation, and how sustainable this is for the future. The measures include estimates of life satisfaction, feeling that the things done in life are worthwhile, happiness and anxiety levels for Gravesham. </w:t>
      </w:r>
    </w:p>
    <w:p w14:paraId="0E35FE40" w14:textId="77777777" w:rsidR="00D135B0" w:rsidRDefault="00D135B0" w:rsidP="00D135B0">
      <w:pPr>
        <w:pStyle w:val="NoSpacing"/>
        <w:numPr>
          <w:ilvl w:val="0"/>
          <w:numId w:val="24"/>
        </w:numPr>
        <w:rPr>
          <w:rFonts w:ascii="Arial" w:hAnsi="Arial" w:cs="Arial"/>
        </w:rPr>
      </w:pPr>
      <w:r w:rsidRPr="00947B33">
        <w:rPr>
          <w:rFonts w:ascii="Arial" w:hAnsi="Arial" w:cs="Arial"/>
        </w:rPr>
        <w:t xml:space="preserve">As </w:t>
      </w:r>
      <w:proofErr w:type="gramStart"/>
      <w:r w:rsidRPr="00947B33">
        <w:rPr>
          <w:rFonts w:ascii="Arial" w:hAnsi="Arial" w:cs="Arial"/>
        </w:rPr>
        <w:t>at</w:t>
      </w:r>
      <w:proofErr w:type="gramEnd"/>
      <w:r w:rsidRPr="00947B33">
        <w:rPr>
          <w:rFonts w:ascii="Arial" w:hAnsi="Arial" w:cs="Arial"/>
        </w:rPr>
        <w:t xml:space="preserve"> 2023, Gravesham’s residents reported lower levels of life satisfaction (7.48 out of 10) than in Kent (7.59) and the south east (7.53), but ahead of the national average (7.44). (</w:t>
      </w:r>
      <w:r w:rsidRPr="00947B33">
        <w:rPr>
          <w:rFonts w:ascii="Arial" w:hAnsi="Arial" w:cs="Arial"/>
          <w:b/>
          <w:bCs/>
        </w:rPr>
        <w:t>Table 28</w:t>
      </w:r>
      <w:r w:rsidRPr="001C148E">
        <w:rPr>
          <w:rFonts w:ascii="Arial" w:hAnsi="Arial" w:cs="Arial"/>
        </w:rPr>
        <w:t>).</w:t>
      </w:r>
    </w:p>
    <w:p w14:paraId="4867A1CF" w14:textId="77777777" w:rsidR="00D135B0" w:rsidRDefault="00D135B0" w:rsidP="00D135B0">
      <w:pPr>
        <w:pStyle w:val="NoSpacing"/>
        <w:rPr>
          <w:rFonts w:ascii="Arial" w:hAnsi="Arial" w:cs="Arial"/>
        </w:rPr>
      </w:pPr>
    </w:p>
    <w:p w14:paraId="331D10D1" w14:textId="3C815971" w:rsidR="00D135B0" w:rsidRDefault="00000000" w:rsidP="00D135B0">
      <w:pPr>
        <w:autoSpaceDE w:val="0"/>
        <w:autoSpaceDN w:val="0"/>
        <w:adjustRightInd w:val="0"/>
        <w:spacing w:after="0" w:line="240" w:lineRule="auto"/>
        <w:rPr>
          <w:rStyle w:val="Hyperlink"/>
          <w:rFonts w:ascii="Arial" w:hAnsi="Arial" w:cs="Arial"/>
        </w:rPr>
      </w:pPr>
      <w:hyperlink r:id="rId15" w:history="1">
        <w:r w:rsidR="00D135B0" w:rsidRPr="002C476A">
          <w:rPr>
            <w:rStyle w:val="Hyperlink"/>
            <w:rFonts w:ascii="Arial" w:hAnsi="Arial" w:cs="Arial"/>
          </w:rPr>
          <w:t>Read details of our sport and leisure services.</w:t>
        </w:r>
      </w:hyperlink>
    </w:p>
    <w:p w14:paraId="49510790" w14:textId="449BEC0A" w:rsidR="00D135B0" w:rsidRDefault="00D135B0" w:rsidP="00D135B0">
      <w:pPr>
        <w:autoSpaceDE w:val="0"/>
        <w:autoSpaceDN w:val="0"/>
        <w:adjustRightInd w:val="0"/>
        <w:spacing w:after="0" w:line="240" w:lineRule="auto"/>
        <w:rPr>
          <w:rStyle w:val="Hyperlink"/>
          <w:rFonts w:ascii="Arial" w:hAnsi="Arial" w:cs="Arial"/>
        </w:rPr>
      </w:pPr>
    </w:p>
    <w:p w14:paraId="2CBB1579" w14:textId="203394A2" w:rsidR="00D135B0" w:rsidRDefault="00D135B0" w:rsidP="00D135B0">
      <w:pPr>
        <w:autoSpaceDE w:val="0"/>
        <w:autoSpaceDN w:val="0"/>
        <w:adjustRightInd w:val="0"/>
        <w:spacing w:after="0" w:line="240" w:lineRule="auto"/>
        <w:rPr>
          <w:rStyle w:val="Hyperlink"/>
          <w:rFonts w:ascii="Arial" w:hAnsi="Arial" w:cs="Arial"/>
        </w:rPr>
      </w:pPr>
    </w:p>
    <w:p w14:paraId="75D9BDE0" w14:textId="3D562EF7" w:rsidR="00D135B0" w:rsidRDefault="00D135B0" w:rsidP="00D135B0">
      <w:pPr>
        <w:autoSpaceDE w:val="0"/>
        <w:autoSpaceDN w:val="0"/>
        <w:adjustRightInd w:val="0"/>
        <w:spacing w:after="0" w:line="240" w:lineRule="auto"/>
        <w:rPr>
          <w:rStyle w:val="Hyperlink"/>
          <w:rFonts w:ascii="Arial" w:hAnsi="Arial" w:cs="Arial"/>
        </w:rPr>
      </w:pPr>
    </w:p>
    <w:p w14:paraId="2E54857C" w14:textId="7B91B205" w:rsidR="00D135B0" w:rsidRDefault="00D135B0" w:rsidP="00D135B0">
      <w:pPr>
        <w:autoSpaceDE w:val="0"/>
        <w:autoSpaceDN w:val="0"/>
        <w:adjustRightInd w:val="0"/>
        <w:spacing w:after="0" w:line="240" w:lineRule="auto"/>
        <w:rPr>
          <w:rStyle w:val="Hyperlink"/>
          <w:rFonts w:ascii="Arial" w:hAnsi="Arial" w:cs="Arial"/>
        </w:rPr>
      </w:pPr>
    </w:p>
    <w:p w14:paraId="1F677110" w14:textId="5E694768" w:rsidR="00D135B0" w:rsidRDefault="00D135B0" w:rsidP="00D135B0">
      <w:pPr>
        <w:autoSpaceDE w:val="0"/>
        <w:autoSpaceDN w:val="0"/>
        <w:adjustRightInd w:val="0"/>
        <w:spacing w:after="0" w:line="240" w:lineRule="auto"/>
        <w:rPr>
          <w:rStyle w:val="Hyperlink"/>
          <w:rFonts w:ascii="Arial" w:hAnsi="Arial" w:cs="Arial"/>
        </w:rPr>
      </w:pPr>
    </w:p>
    <w:p w14:paraId="07E53D65" w14:textId="007112A7" w:rsidR="00D135B0" w:rsidRDefault="00D135B0" w:rsidP="00D135B0">
      <w:pPr>
        <w:autoSpaceDE w:val="0"/>
        <w:autoSpaceDN w:val="0"/>
        <w:adjustRightInd w:val="0"/>
        <w:spacing w:after="0" w:line="240" w:lineRule="auto"/>
        <w:rPr>
          <w:rStyle w:val="Hyperlink"/>
          <w:rFonts w:ascii="Arial" w:hAnsi="Arial" w:cs="Arial"/>
        </w:rPr>
      </w:pPr>
    </w:p>
    <w:p w14:paraId="0CE544AC" w14:textId="52883035" w:rsidR="00D135B0" w:rsidRDefault="00D135B0" w:rsidP="00D135B0">
      <w:pPr>
        <w:autoSpaceDE w:val="0"/>
        <w:autoSpaceDN w:val="0"/>
        <w:adjustRightInd w:val="0"/>
        <w:spacing w:after="0" w:line="240" w:lineRule="auto"/>
        <w:rPr>
          <w:rStyle w:val="Hyperlink"/>
          <w:rFonts w:ascii="Arial" w:hAnsi="Arial" w:cs="Arial"/>
        </w:rPr>
      </w:pPr>
    </w:p>
    <w:p w14:paraId="4DAE4FA9" w14:textId="3332E5DB" w:rsidR="00D135B0" w:rsidRDefault="00D135B0" w:rsidP="00D135B0">
      <w:pPr>
        <w:autoSpaceDE w:val="0"/>
        <w:autoSpaceDN w:val="0"/>
        <w:adjustRightInd w:val="0"/>
        <w:spacing w:after="0" w:line="240" w:lineRule="auto"/>
        <w:rPr>
          <w:rStyle w:val="Hyperlink"/>
          <w:rFonts w:ascii="Arial" w:hAnsi="Arial" w:cs="Arial"/>
        </w:rPr>
      </w:pPr>
    </w:p>
    <w:p w14:paraId="42A8C5C5" w14:textId="5FB7EDC8" w:rsidR="00D135B0" w:rsidRDefault="00D135B0" w:rsidP="00D135B0">
      <w:pPr>
        <w:autoSpaceDE w:val="0"/>
        <w:autoSpaceDN w:val="0"/>
        <w:adjustRightInd w:val="0"/>
        <w:spacing w:after="0" w:line="240" w:lineRule="auto"/>
        <w:rPr>
          <w:rStyle w:val="Hyperlink"/>
          <w:rFonts w:ascii="Arial" w:hAnsi="Arial" w:cs="Arial"/>
        </w:rPr>
      </w:pPr>
    </w:p>
    <w:p w14:paraId="2E29FBFB" w14:textId="1BB49C5C" w:rsidR="00D135B0" w:rsidRDefault="00D135B0" w:rsidP="00D135B0">
      <w:pPr>
        <w:autoSpaceDE w:val="0"/>
        <w:autoSpaceDN w:val="0"/>
        <w:adjustRightInd w:val="0"/>
        <w:spacing w:after="0" w:line="240" w:lineRule="auto"/>
        <w:rPr>
          <w:rStyle w:val="Hyperlink"/>
          <w:rFonts w:ascii="Arial" w:hAnsi="Arial" w:cs="Arial"/>
        </w:rPr>
      </w:pPr>
    </w:p>
    <w:p w14:paraId="7ADF3688" w14:textId="603BF9B0" w:rsidR="00D135B0" w:rsidRDefault="00D135B0" w:rsidP="00D135B0">
      <w:pPr>
        <w:autoSpaceDE w:val="0"/>
        <w:autoSpaceDN w:val="0"/>
        <w:adjustRightInd w:val="0"/>
        <w:spacing w:after="0" w:line="240" w:lineRule="auto"/>
        <w:rPr>
          <w:rStyle w:val="Hyperlink"/>
          <w:rFonts w:ascii="Arial" w:hAnsi="Arial" w:cs="Arial"/>
        </w:rPr>
      </w:pPr>
    </w:p>
    <w:p w14:paraId="77E6BF8F" w14:textId="6A4FBCFE" w:rsidR="00D135B0" w:rsidRDefault="00D135B0" w:rsidP="00D135B0">
      <w:pPr>
        <w:autoSpaceDE w:val="0"/>
        <w:autoSpaceDN w:val="0"/>
        <w:adjustRightInd w:val="0"/>
        <w:spacing w:after="0" w:line="240" w:lineRule="auto"/>
        <w:rPr>
          <w:rStyle w:val="Hyperlink"/>
          <w:rFonts w:ascii="Arial" w:hAnsi="Arial" w:cs="Arial"/>
        </w:rPr>
      </w:pPr>
    </w:p>
    <w:p w14:paraId="5DB6449C" w14:textId="77777777" w:rsidR="00D135B0" w:rsidRDefault="00D135B0" w:rsidP="00D135B0">
      <w:pPr>
        <w:pStyle w:val="NoSpacing"/>
        <w:rPr>
          <w:rFonts w:ascii="Arial" w:eastAsia="Arial" w:hAnsi="Arial" w:cs="Arial"/>
          <w:color w:val="365F91" w:themeColor="accent1" w:themeShade="BF"/>
          <w:sz w:val="26"/>
          <w:szCs w:val="26"/>
        </w:rPr>
      </w:pPr>
    </w:p>
    <w:p w14:paraId="10813468" w14:textId="77777777" w:rsidR="00D135B0" w:rsidRDefault="00D135B0" w:rsidP="00D135B0">
      <w:pPr>
        <w:pStyle w:val="NoSpacing"/>
        <w:rPr>
          <w:rFonts w:ascii="Arial" w:eastAsia="Arial" w:hAnsi="Arial" w:cs="Arial"/>
          <w:color w:val="365F91" w:themeColor="accent1" w:themeShade="BF"/>
          <w:sz w:val="26"/>
          <w:szCs w:val="26"/>
        </w:rPr>
      </w:pPr>
    </w:p>
    <w:p w14:paraId="1FC27533" w14:textId="789BEA87" w:rsidR="00D135B0" w:rsidRPr="00E5062B" w:rsidRDefault="00D135B0" w:rsidP="00D135B0">
      <w:pPr>
        <w:pStyle w:val="NoSpacing"/>
        <w:rPr>
          <w:rFonts w:ascii="Arial" w:eastAsia="Arial" w:hAnsi="Arial" w:cs="Arial"/>
          <w:color w:val="365F91" w:themeColor="accent1" w:themeShade="BF"/>
          <w:sz w:val="26"/>
          <w:szCs w:val="26"/>
        </w:rPr>
      </w:pPr>
      <w:r w:rsidRPr="00E5062B">
        <w:rPr>
          <w:rFonts w:ascii="Arial" w:eastAsia="Arial" w:hAnsi="Arial" w:cs="Arial"/>
          <w:color w:val="365F91" w:themeColor="accent1" w:themeShade="BF"/>
          <w:sz w:val="26"/>
          <w:szCs w:val="26"/>
        </w:rPr>
        <w:lastRenderedPageBreak/>
        <w:t xml:space="preserve">10. Housing </w:t>
      </w:r>
    </w:p>
    <w:p w14:paraId="0216F5DB" w14:textId="77777777" w:rsidR="00D135B0" w:rsidRPr="00E5062B" w:rsidRDefault="00D135B0" w:rsidP="00D135B0">
      <w:pPr>
        <w:pStyle w:val="NoSpacing"/>
        <w:rPr>
          <w:rFonts w:ascii="Arial" w:hAnsi="Arial" w:cs="Arial"/>
        </w:rPr>
      </w:pPr>
    </w:p>
    <w:p w14:paraId="45E27B3F" w14:textId="77777777" w:rsidR="00D135B0" w:rsidRPr="00E5062B" w:rsidRDefault="00D135B0" w:rsidP="00D135B0">
      <w:pPr>
        <w:pStyle w:val="NoSpacing"/>
        <w:rPr>
          <w:rFonts w:ascii="Arial" w:hAnsi="Arial" w:cs="Arial"/>
        </w:rPr>
      </w:pPr>
      <w:r w:rsidRPr="00E5062B">
        <w:rPr>
          <w:rFonts w:ascii="Arial" w:hAnsi="Arial" w:cs="Arial"/>
        </w:rPr>
        <w:t>This chapter presents a collection of statistics relating to the health of the local private and social housing sectors in Gravesham. Like many other areas, historical housing delivery indicates that the borough is not keeping up with demand, presenting challenges to affordability, both in terms of private and rental markets, and status, with Gravesham having Kent’s highest proportion of homes over-occupied.</w:t>
      </w:r>
    </w:p>
    <w:p w14:paraId="1C9EEB92" w14:textId="77777777" w:rsidR="00D135B0" w:rsidRPr="00E5062B" w:rsidRDefault="00D135B0" w:rsidP="00D135B0">
      <w:pPr>
        <w:autoSpaceDE w:val="0"/>
        <w:autoSpaceDN w:val="0"/>
        <w:adjustRightInd w:val="0"/>
        <w:spacing w:after="0" w:line="240" w:lineRule="auto"/>
        <w:rPr>
          <w:rFonts w:ascii="Arial" w:hAnsi="Arial" w:cs="Arial"/>
          <w:color w:val="365F91" w:themeColor="accent1" w:themeShade="BF"/>
          <w:sz w:val="24"/>
          <w:szCs w:val="24"/>
        </w:rPr>
      </w:pPr>
    </w:p>
    <w:p w14:paraId="17BFF5B1" w14:textId="77777777" w:rsidR="00D135B0" w:rsidRDefault="00D135B0" w:rsidP="00D135B0">
      <w:pPr>
        <w:autoSpaceDE w:val="0"/>
        <w:autoSpaceDN w:val="0"/>
        <w:adjustRightInd w:val="0"/>
        <w:spacing w:after="0" w:line="240" w:lineRule="auto"/>
        <w:rPr>
          <w:rFonts w:ascii="Arial" w:hAnsi="Arial" w:cs="Arial"/>
          <w:color w:val="365F91" w:themeColor="accent1" w:themeShade="BF"/>
          <w:sz w:val="24"/>
          <w:szCs w:val="24"/>
        </w:rPr>
      </w:pPr>
      <w:r w:rsidRPr="00E5062B">
        <w:rPr>
          <w:rFonts w:ascii="Arial" w:hAnsi="Arial" w:cs="Arial"/>
          <w:color w:val="365F91" w:themeColor="accent1" w:themeShade="BF"/>
          <w:sz w:val="24"/>
          <w:szCs w:val="24"/>
        </w:rPr>
        <w:t>Private housing</w:t>
      </w:r>
    </w:p>
    <w:p w14:paraId="3A413CE0" w14:textId="77777777" w:rsidR="00D135B0" w:rsidRPr="00E5062B" w:rsidRDefault="00D135B0" w:rsidP="00D135B0">
      <w:pPr>
        <w:autoSpaceDE w:val="0"/>
        <w:autoSpaceDN w:val="0"/>
        <w:adjustRightInd w:val="0"/>
        <w:spacing w:after="0" w:line="240" w:lineRule="auto"/>
        <w:rPr>
          <w:rFonts w:ascii="Arial" w:hAnsi="Arial" w:cs="Arial"/>
          <w:color w:val="365F91" w:themeColor="accent1" w:themeShade="BF"/>
        </w:rPr>
      </w:pPr>
    </w:p>
    <w:p w14:paraId="73C93257" w14:textId="77777777" w:rsidR="00D135B0" w:rsidRDefault="00D135B0" w:rsidP="00D135B0">
      <w:pPr>
        <w:pStyle w:val="ListParagraph"/>
        <w:numPr>
          <w:ilvl w:val="0"/>
          <w:numId w:val="25"/>
        </w:numPr>
        <w:rPr>
          <w:rFonts w:ascii="Arial" w:hAnsi="Arial" w:cs="Arial"/>
        </w:rPr>
      </w:pPr>
      <w:r w:rsidRPr="00E5062B">
        <w:rPr>
          <w:rFonts w:ascii="Arial" w:hAnsi="Arial" w:cs="Arial"/>
        </w:rPr>
        <w:t>Supply</w:t>
      </w:r>
    </w:p>
    <w:p w14:paraId="089D3310" w14:textId="77777777" w:rsidR="00D135B0" w:rsidRPr="00E5062B" w:rsidRDefault="00D135B0" w:rsidP="00D135B0">
      <w:pPr>
        <w:pStyle w:val="ListParagraph"/>
        <w:numPr>
          <w:ilvl w:val="1"/>
          <w:numId w:val="25"/>
        </w:numPr>
        <w:rPr>
          <w:rFonts w:ascii="Arial" w:hAnsi="Arial" w:cs="Arial"/>
        </w:rPr>
      </w:pPr>
      <w:r w:rsidRPr="00E5062B">
        <w:rPr>
          <w:rFonts w:ascii="Arial" w:hAnsi="Arial" w:cs="Arial"/>
        </w:rPr>
        <w:t>Gravesham has a housing stock of 44,492 dwellings. This is the smallest figure in Kent, reflective of the borough’s comparative level of population.</w:t>
      </w:r>
    </w:p>
    <w:p w14:paraId="11BC9F3E" w14:textId="77777777" w:rsidR="00D135B0" w:rsidRPr="00E5062B" w:rsidRDefault="00D135B0" w:rsidP="00D135B0">
      <w:pPr>
        <w:pStyle w:val="ListParagraph"/>
        <w:numPr>
          <w:ilvl w:val="1"/>
          <w:numId w:val="25"/>
        </w:numPr>
        <w:rPr>
          <w:rFonts w:ascii="Arial" w:hAnsi="Arial" w:cs="Arial"/>
        </w:rPr>
      </w:pPr>
      <w:r w:rsidRPr="00E5062B">
        <w:rPr>
          <w:rFonts w:ascii="Arial" w:hAnsi="Arial" w:cs="Arial"/>
        </w:rPr>
        <w:t>In the year 2020-21, a net 240 homes were built in the borough, representing the second lowest figure across Kent districts. Of that figure, 88 were recorded as affordable dwellings – at 36.7% this provided the second highest proportionate outturn in Kent, and ahead of Kent (23.4%) and national (24.1%) averages. In the 10 years between 2011 and 2021, the average annual number of completed dwellings in Gravesham at 230 is the lowest in the county.</w:t>
      </w:r>
    </w:p>
    <w:p w14:paraId="0C35CA5E" w14:textId="77777777" w:rsidR="00D135B0" w:rsidRDefault="00D135B0" w:rsidP="00D135B0">
      <w:pPr>
        <w:pStyle w:val="ListParagraph"/>
        <w:numPr>
          <w:ilvl w:val="1"/>
          <w:numId w:val="25"/>
        </w:numPr>
        <w:rPr>
          <w:rFonts w:ascii="Arial" w:hAnsi="Arial" w:cs="Arial"/>
        </w:rPr>
      </w:pPr>
      <w:r w:rsidRPr="00E5062B">
        <w:rPr>
          <w:rFonts w:ascii="Arial" w:hAnsi="Arial" w:cs="Arial"/>
        </w:rPr>
        <w:t xml:space="preserve">It was established from the 2021 Census that Gravesham had the highest proportion of homes in Kent deemed over-occupied in consideration of the number of bedrooms. At 6.0%, Gravesham’s figure was also </w:t>
      </w:r>
      <w:r>
        <w:rPr>
          <w:rFonts w:ascii="Arial" w:hAnsi="Arial" w:cs="Arial"/>
        </w:rPr>
        <w:t xml:space="preserve">considerably </w:t>
      </w:r>
      <w:r w:rsidRPr="00E5062B">
        <w:rPr>
          <w:rFonts w:ascii="Arial" w:hAnsi="Arial" w:cs="Arial"/>
        </w:rPr>
        <w:t>ahead of the Kent (3.6%) and national averages (4</w:t>
      </w:r>
      <w:r w:rsidRPr="005A20F5">
        <w:rPr>
          <w:rFonts w:ascii="Arial" w:hAnsi="Arial" w:cs="Arial"/>
        </w:rPr>
        <w:t>.3%) (</w:t>
      </w:r>
      <w:r w:rsidRPr="005A20F5">
        <w:rPr>
          <w:rFonts w:ascii="Arial" w:hAnsi="Arial" w:cs="Arial"/>
          <w:b/>
          <w:bCs/>
        </w:rPr>
        <w:t>Table 29</w:t>
      </w:r>
      <w:r w:rsidRPr="005A20F5">
        <w:rPr>
          <w:rFonts w:ascii="Arial" w:hAnsi="Arial" w:cs="Arial"/>
        </w:rPr>
        <w:t>).</w:t>
      </w:r>
    </w:p>
    <w:p w14:paraId="06A13E83" w14:textId="77777777" w:rsidR="00D135B0" w:rsidRPr="00E5062B" w:rsidRDefault="00D135B0" w:rsidP="00D135B0">
      <w:pPr>
        <w:pStyle w:val="ListParagraph"/>
        <w:ind w:left="1440"/>
        <w:rPr>
          <w:rFonts w:ascii="Arial" w:hAnsi="Arial" w:cs="Arial"/>
        </w:rPr>
      </w:pPr>
    </w:p>
    <w:p w14:paraId="72E7CA34" w14:textId="77777777" w:rsidR="00D135B0" w:rsidRDefault="00D135B0" w:rsidP="00D135B0">
      <w:pPr>
        <w:pStyle w:val="ListParagraph"/>
        <w:numPr>
          <w:ilvl w:val="0"/>
          <w:numId w:val="25"/>
        </w:numPr>
        <w:rPr>
          <w:rFonts w:ascii="Arial" w:hAnsi="Arial" w:cs="Arial"/>
        </w:rPr>
      </w:pPr>
      <w:r w:rsidRPr="00E5062B">
        <w:rPr>
          <w:rFonts w:ascii="Arial" w:hAnsi="Arial" w:cs="Arial"/>
        </w:rPr>
        <w:t xml:space="preserve">Tenure </w:t>
      </w:r>
    </w:p>
    <w:p w14:paraId="414529F2" w14:textId="77777777" w:rsidR="00D135B0" w:rsidRPr="00E5062B" w:rsidRDefault="00D135B0" w:rsidP="00D135B0">
      <w:pPr>
        <w:pStyle w:val="ListParagraph"/>
        <w:numPr>
          <w:ilvl w:val="1"/>
          <w:numId w:val="25"/>
        </w:numPr>
        <w:rPr>
          <w:rFonts w:ascii="Arial" w:hAnsi="Arial" w:cs="Arial"/>
        </w:rPr>
      </w:pPr>
      <w:r w:rsidRPr="00E5062B">
        <w:rPr>
          <w:rFonts w:ascii="Arial" w:hAnsi="Arial" w:cs="Arial"/>
        </w:rPr>
        <w:t xml:space="preserve">At 82.6% of the total, Gravesham has the lowest proportion of homes in the private sector across Kent. </w:t>
      </w:r>
    </w:p>
    <w:p w14:paraId="156708E6" w14:textId="77777777" w:rsidR="00D135B0" w:rsidRPr="00E5062B" w:rsidRDefault="00D135B0" w:rsidP="00D135B0">
      <w:pPr>
        <w:pStyle w:val="ListParagraph"/>
        <w:numPr>
          <w:ilvl w:val="1"/>
          <w:numId w:val="25"/>
        </w:numPr>
        <w:rPr>
          <w:rFonts w:ascii="Arial" w:hAnsi="Arial" w:cs="Arial"/>
        </w:rPr>
      </w:pPr>
      <w:r w:rsidRPr="00E5062B">
        <w:rPr>
          <w:rFonts w:ascii="Arial" w:hAnsi="Arial" w:cs="Arial"/>
        </w:rPr>
        <w:t xml:space="preserve">Census 2021 identifies that 62.2% of Gravesham residents own their own property, down from 64.6% and 71.1% in the 2011 and 2001 Census, the second largest reduction in home ownership in Kent over the 20 year </w:t>
      </w:r>
      <w:r w:rsidRPr="005A20F5">
        <w:rPr>
          <w:rFonts w:ascii="Arial" w:hAnsi="Arial" w:cs="Arial"/>
        </w:rPr>
        <w:t>period (</w:t>
      </w:r>
      <w:r w:rsidRPr="005A20F5">
        <w:rPr>
          <w:rFonts w:ascii="Arial" w:hAnsi="Arial" w:cs="Arial"/>
          <w:b/>
          <w:bCs/>
        </w:rPr>
        <w:t>Table 30</w:t>
      </w:r>
      <w:r w:rsidRPr="005A20F5">
        <w:rPr>
          <w:rFonts w:ascii="Arial" w:hAnsi="Arial" w:cs="Arial"/>
        </w:rPr>
        <w:t>).</w:t>
      </w:r>
    </w:p>
    <w:p w14:paraId="2CCD2D2F" w14:textId="77777777" w:rsidR="00D135B0" w:rsidRPr="00E5062B" w:rsidRDefault="00D135B0" w:rsidP="00D135B0">
      <w:pPr>
        <w:pStyle w:val="ListParagraph"/>
        <w:numPr>
          <w:ilvl w:val="1"/>
          <w:numId w:val="25"/>
        </w:numPr>
        <w:rPr>
          <w:rFonts w:ascii="Arial" w:hAnsi="Arial" w:cs="Arial"/>
        </w:rPr>
      </w:pPr>
      <w:r w:rsidRPr="00E5062B">
        <w:rPr>
          <w:rFonts w:ascii="Arial" w:hAnsi="Arial" w:cs="Arial"/>
        </w:rPr>
        <w:t xml:space="preserve">Gravesham’s 2021 figure represents the second lowest figure of home ownership in Kent, with a near equal spilt of those who own outright (31.2%) and those with a mortgage (31.0%). An additional 1.1% of residents have a shared ownership arrangement. Conversely, 36.7% of Gravesham’s households rent their property, above the average for Kent (32.6%). </w:t>
      </w:r>
    </w:p>
    <w:p w14:paraId="564B1E71" w14:textId="77777777" w:rsidR="00D135B0" w:rsidRPr="00E5062B" w:rsidRDefault="00D135B0" w:rsidP="00D135B0">
      <w:pPr>
        <w:pStyle w:val="ListParagraph"/>
        <w:numPr>
          <w:ilvl w:val="1"/>
          <w:numId w:val="25"/>
        </w:numPr>
        <w:rPr>
          <w:rFonts w:ascii="Arial" w:hAnsi="Arial" w:cs="Arial"/>
        </w:rPr>
      </w:pPr>
      <w:r w:rsidRPr="00E5062B">
        <w:rPr>
          <w:rFonts w:ascii="Arial" w:hAnsi="Arial" w:cs="Arial"/>
        </w:rPr>
        <w:t xml:space="preserve">Gravesham has the lowest total number of second homes owned in the borough in comparison to other Kent districts (29). This represents 0.1% of the overall housing stock in the borough, again the lowest figure in the county, and considerably below that of the Kent (1.3%) and national (1.0%) averages. </w:t>
      </w:r>
    </w:p>
    <w:p w14:paraId="1ADBC200" w14:textId="77777777" w:rsidR="00D135B0" w:rsidRPr="00E5062B" w:rsidRDefault="00D135B0" w:rsidP="00D135B0">
      <w:pPr>
        <w:pStyle w:val="NoSpacing"/>
        <w:rPr>
          <w:rFonts w:ascii="Arial" w:hAnsi="Arial" w:cs="Arial"/>
          <w:highlight w:val="yellow"/>
        </w:rPr>
      </w:pPr>
    </w:p>
    <w:p w14:paraId="7BAE3185" w14:textId="34730D9B" w:rsidR="00D135B0" w:rsidRDefault="00D135B0" w:rsidP="00D135B0">
      <w:pPr>
        <w:rPr>
          <w:rFonts w:ascii="Arial" w:hAnsi="Arial" w:cs="Arial"/>
          <w:highlight w:val="yellow"/>
        </w:rPr>
      </w:pPr>
    </w:p>
    <w:p w14:paraId="3CDDD398" w14:textId="77777777" w:rsidR="00D135B0" w:rsidRPr="00E5062B" w:rsidRDefault="00D135B0" w:rsidP="00D135B0">
      <w:pPr>
        <w:rPr>
          <w:rFonts w:ascii="Arial" w:hAnsi="Arial" w:cs="Arial"/>
          <w:highlight w:val="yellow"/>
        </w:rPr>
      </w:pPr>
    </w:p>
    <w:p w14:paraId="64AEAC02" w14:textId="77777777" w:rsidR="00D135B0" w:rsidRDefault="00D135B0" w:rsidP="00D135B0">
      <w:pPr>
        <w:pStyle w:val="NoSpacing"/>
        <w:numPr>
          <w:ilvl w:val="0"/>
          <w:numId w:val="26"/>
        </w:numPr>
        <w:rPr>
          <w:rFonts w:ascii="Arial" w:hAnsi="Arial" w:cs="Arial"/>
        </w:rPr>
      </w:pPr>
      <w:r w:rsidRPr="00E5062B">
        <w:rPr>
          <w:rFonts w:ascii="Arial" w:hAnsi="Arial" w:cs="Arial"/>
        </w:rPr>
        <w:lastRenderedPageBreak/>
        <w:t>Costs</w:t>
      </w:r>
    </w:p>
    <w:p w14:paraId="1C09A9C3" w14:textId="77777777" w:rsidR="00D135B0" w:rsidRPr="005A20F5" w:rsidRDefault="00D135B0" w:rsidP="00D135B0">
      <w:pPr>
        <w:pStyle w:val="NoSpacing"/>
        <w:numPr>
          <w:ilvl w:val="1"/>
          <w:numId w:val="26"/>
        </w:numPr>
        <w:rPr>
          <w:rFonts w:ascii="Arial" w:hAnsi="Arial" w:cs="Arial"/>
        </w:rPr>
      </w:pPr>
      <w:r w:rsidRPr="00E5062B">
        <w:rPr>
          <w:rFonts w:ascii="Arial" w:hAnsi="Arial" w:cs="Arial"/>
        </w:rPr>
        <w:t xml:space="preserve">In the year to September 2023, the average house price paid in Gravesham was recorded as £326,561, the eight highest figure across Kent districts and below the Kent (£362,324) average. House prices were higher in Gravesham than Kent for detached houses, but lower across the categories of semi-detached, terraced and </w:t>
      </w:r>
      <w:r w:rsidRPr="005A20F5">
        <w:rPr>
          <w:rFonts w:ascii="Arial" w:hAnsi="Arial" w:cs="Arial"/>
        </w:rPr>
        <w:t>flats (</w:t>
      </w:r>
      <w:r w:rsidRPr="005A20F5">
        <w:rPr>
          <w:rFonts w:ascii="Arial" w:hAnsi="Arial" w:cs="Arial"/>
          <w:b/>
          <w:bCs/>
        </w:rPr>
        <w:t xml:space="preserve">Table </w:t>
      </w:r>
      <w:r>
        <w:rPr>
          <w:rFonts w:ascii="Arial" w:hAnsi="Arial" w:cs="Arial"/>
          <w:b/>
          <w:bCs/>
        </w:rPr>
        <w:t>31</w:t>
      </w:r>
      <w:r w:rsidRPr="005A20F5">
        <w:rPr>
          <w:rFonts w:ascii="Arial" w:hAnsi="Arial" w:cs="Arial"/>
        </w:rPr>
        <w:t>).</w:t>
      </w:r>
    </w:p>
    <w:p w14:paraId="39C259EF" w14:textId="77777777" w:rsidR="00D135B0" w:rsidRPr="005A20F5" w:rsidRDefault="00D135B0" w:rsidP="00D135B0">
      <w:pPr>
        <w:pStyle w:val="NoSpacing"/>
        <w:numPr>
          <w:ilvl w:val="1"/>
          <w:numId w:val="26"/>
        </w:numPr>
        <w:rPr>
          <w:rFonts w:ascii="Arial" w:hAnsi="Arial" w:cs="Arial"/>
        </w:rPr>
      </w:pPr>
      <w:r w:rsidRPr="005A20F5">
        <w:rPr>
          <w:rFonts w:ascii="Arial" w:hAnsi="Arial" w:cs="Arial"/>
        </w:rPr>
        <w:t>Where private sales prices are below local averages, Gravesham’s average private sector rent cost (£975/month) is higher than that of both Kent and national averages and presents the fifth highest figure in the county. (</w:t>
      </w:r>
      <w:r w:rsidRPr="005A20F5">
        <w:rPr>
          <w:rFonts w:ascii="Arial" w:hAnsi="Arial" w:cs="Arial"/>
          <w:b/>
          <w:bCs/>
        </w:rPr>
        <w:t>Table 32</w:t>
      </w:r>
      <w:r w:rsidRPr="005A20F5">
        <w:rPr>
          <w:rFonts w:ascii="Arial" w:hAnsi="Arial" w:cs="Arial"/>
        </w:rPr>
        <w:t>).</w:t>
      </w:r>
    </w:p>
    <w:p w14:paraId="7000F339" w14:textId="77777777" w:rsidR="00D135B0" w:rsidRPr="005A20F5" w:rsidRDefault="00D135B0" w:rsidP="00D135B0">
      <w:pPr>
        <w:pStyle w:val="NoSpacing"/>
        <w:numPr>
          <w:ilvl w:val="1"/>
          <w:numId w:val="26"/>
        </w:numPr>
        <w:rPr>
          <w:rFonts w:ascii="Arial" w:hAnsi="Arial" w:cs="Arial"/>
        </w:rPr>
      </w:pPr>
      <w:r w:rsidRPr="005A20F5">
        <w:rPr>
          <w:rFonts w:ascii="Arial" w:hAnsi="Arial" w:cs="Arial"/>
        </w:rPr>
        <w:t>There are 833 vacant dwellings in the borough. This is the smallest total and proportionate (1.9%) figure of total housing stock across Kent districts. Of those vacant properties, 283 are identified as ‘long-term vacant dwellings’ (6 months+), equating to 34.0% of the total vacant dwellings, ahead of the equivalent total for Kent (31.3%) (</w:t>
      </w:r>
      <w:r w:rsidRPr="005A20F5">
        <w:rPr>
          <w:rFonts w:ascii="Arial" w:hAnsi="Arial" w:cs="Arial"/>
          <w:b/>
          <w:bCs/>
        </w:rPr>
        <w:t>Table 33</w:t>
      </w:r>
      <w:r w:rsidRPr="005A20F5">
        <w:rPr>
          <w:rFonts w:ascii="Arial" w:hAnsi="Arial" w:cs="Arial"/>
        </w:rPr>
        <w:t>).</w:t>
      </w:r>
    </w:p>
    <w:p w14:paraId="6F7FC3E5" w14:textId="77777777" w:rsidR="00D135B0" w:rsidRPr="00E5062B" w:rsidRDefault="00D135B0" w:rsidP="00D135B0">
      <w:pPr>
        <w:autoSpaceDE w:val="0"/>
        <w:autoSpaceDN w:val="0"/>
        <w:adjustRightInd w:val="0"/>
        <w:spacing w:after="0" w:line="240" w:lineRule="auto"/>
        <w:rPr>
          <w:rFonts w:ascii="Arial" w:hAnsi="Arial" w:cs="Arial"/>
          <w:color w:val="365F91" w:themeColor="accent1" w:themeShade="BF"/>
          <w:sz w:val="24"/>
          <w:szCs w:val="24"/>
        </w:rPr>
      </w:pPr>
    </w:p>
    <w:p w14:paraId="138B2181" w14:textId="77777777" w:rsidR="00D135B0" w:rsidRPr="00E5062B" w:rsidRDefault="00D135B0" w:rsidP="00D135B0">
      <w:pPr>
        <w:autoSpaceDE w:val="0"/>
        <w:autoSpaceDN w:val="0"/>
        <w:adjustRightInd w:val="0"/>
        <w:spacing w:after="0" w:line="240" w:lineRule="auto"/>
        <w:rPr>
          <w:rFonts w:ascii="Arial" w:hAnsi="Arial" w:cs="Arial"/>
          <w:color w:val="365F91" w:themeColor="accent1" w:themeShade="BF"/>
          <w:sz w:val="24"/>
          <w:szCs w:val="24"/>
        </w:rPr>
      </w:pPr>
      <w:r w:rsidRPr="00E5062B">
        <w:rPr>
          <w:rFonts w:ascii="Arial" w:hAnsi="Arial" w:cs="Arial"/>
          <w:color w:val="365F91" w:themeColor="accent1" w:themeShade="BF"/>
          <w:sz w:val="24"/>
          <w:szCs w:val="24"/>
        </w:rPr>
        <w:t>Social housing</w:t>
      </w:r>
    </w:p>
    <w:p w14:paraId="5B910856" w14:textId="77777777" w:rsidR="00D135B0" w:rsidRDefault="00D135B0" w:rsidP="00D135B0">
      <w:pPr>
        <w:pStyle w:val="NoSpacing"/>
        <w:rPr>
          <w:rFonts w:ascii="Arial" w:hAnsi="Arial" w:cs="Arial"/>
        </w:rPr>
      </w:pPr>
    </w:p>
    <w:p w14:paraId="65F9A71A" w14:textId="77777777" w:rsidR="00D135B0" w:rsidRDefault="00D135B0" w:rsidP="00D135B0">
      <w:pPr>
        <w:pStyle w:val="NoSpacing"/>
        <w:numPr>
          <w:ilvl w:val="0"/>
          <w:numId w:val="26"/>
        </w:numPr>
        <w:rPr>
          <w:rFonts w:ascii="Arial" w:hAnsi="Arial" w:cs="Arial"/>
        </w:rPr>
      </w:pPr>
      <w:r w:rsidRPr="00CB1A2D">
        <w:rPr>
          <w:rFonts w:ascii="Arial" w:hAnsi="Arial" w:cs="Arial"/>
        </w:rPr>
        <w:t xml:space="preserve">Gravesham has the highest number of council housing stock properties (5,660) across Kent districts. In addition, across all sectors Gravesham had the highest percentage identified as either council housing or other social rented housing in comparison (16.8%). </w:t>
      </w:r>
    </w:p>
    <w:p w14:paraId="358C84CF" w14:textId="77777777" w:rsidR="00D135B0" w:rsidRDefault="00D135B0" w:rsidP="00D135B0">
      <w:pPr>
        <w:pStyle w:val="NoSpacing"/>
        <w:numPr>
          <w:ilvl w:val="0"/>
          <w:numId w:val="26"/>
        </w:numPr>
        <w:rPr>
          <w:rFonts w:ascii="Arial" w:hAnsi="Arial" w:cs="Arial"/>
        </w:rPr>
      </w:pPr>
      <w:r w:rsidRPr="00CB1A2D">
        <w:rPr>
          <w:rFonts w:ascii="Arial" w:hAnsi="Arial" w:cs="Arial"/>
        </w:rPr>
        <w:t>Gravesham’s average weekly council housing rent across all tenure types is £91.61. This total equates to 40.7% of the equivalent average private sector rent in the borough, the second lowest of the council housing providers in Kent (</w:t>
      </w:r>
      <w:r w:rsidRPr="005A20F5">
        <w:rPr>
          <w:rFonts w:ascii="Arial" w:hAnsi="Arial" w:cs="Arial"/>
          <w:b/>
          <w:bCs/>
        </w:rPr>
        <w:t>Table 34</w:t>
      </w:r>
      <w:r w:rsidRPr="00CB1A2D">
        <w:rPr>
          <w:rFonts w:ascii="Arial" w:hAnsi="Arial" w:cs="Arial"/>
        </w:rPr>
        <w:t>).</w:t>
      </w:r>
    </w:p>
    <w:p w14:paraId="6ACFD668" w14:textId="77777777" w:rsidR="00D135B0" w:rsidRDefault="00D135B0" w:rsidP="00D135B0">
      <w:pPr>
        <w:pStyle w:val="NoSpacing"/>
        <w:numPr>
          <w:ilvl w:val="0"/>
          <w:numId w:val="26"/>
        </w:numPr>
        <w:rPr>
          <w:rFonts w:ascii="Arial" w:hAnsi="Arial" w:cs="Arial"/>
        </w:rPr>
      </w:pPr>
      <w:r w:rsidRPr="00CB1A2D">
        <w:rPr>
          <w:rFonts w:ascii="Arial" w:hAnsi="Arial" w:cs="Arial"/>
        </w:rPr>
        <w:t xml:space="preserve">As </w:t>
      </w:r>
      <w:proofErr w:type="gramStart"/>
      <w:r w:rsidRPr="00CB1A2D">
        <w:rPr>
          <w:rFonts w:ascii="Arial" w:hAnsi="Arial" w:cs="Arial"/>
        </w:rPr>
        <w:t>at</w:t>
      </w:r>
      <w:proofErr w:type="gramEnd"/>
      <w:r w:rsidRPr="00CB1A2D">
        <w:rPr>
          <w:rFonts w:ascii="Arial" w:hAnsi="Arial" w:cs="Arial"/>
        </w:rPr>
        <w:t xml:space="preserve"> 2022, there were 1,030 applicants on the council housing waiting list in the borough. At 18.2%, Gravesham’s is the lowest waiting list in Kent proportionate to the total council housing stock.   </w:t>
      </w:r>
    </w:p>
    <w:p w14:paraId="4261527C" w14:textId="77777777" w:rsidR="00D135B0" w:rsidRDefault="00D135B0" w:rsidP="00D135B0">
      <w:pPr>
        <w:pStyle w:val="NoSpacing"/>
        <w:numPr>
          <w:ilvl w:val="0"/>
          <w:numId w:val="26"/>
        </w:numPr>
        <w:rPr>
          <w:rFonts w:ascii="Arial" w:hAnsi="Arial" w:cs="Arial"/>
        </w:rPr>
      </w:pPr>
      <w:r w:rsidRPr="00CB1A2D">
        <w:rPr>
          <w:rFonts w:ascii="Arial" w:hAnsi="Arial" w:cs="Arial"/>
        </w:rPr>
        <w:t>With an average purchase price of £160,000, Gravesham saw 16 council properties sold under the ‘Right to Buy’ scheme in 2020-21, a rate of 2.8 per 1,000 dwellings, below Kent (2.9) and national (4.3) averages.</w:t>
      </w:r>
    </w:p>
    <w:p w14:paraId="2AA63EE2" w14:textId="77777777" w:rsidR="00D135B0" w:rsidRDefault="00D135B0" w:rsidP="00D135B0">
      <w:pPr>
        <w:pStyle w:val="NoSpacing"/>
        <w:rPr>
          <w:rFonts w:ascii="Arial" w:hAnsi="Arial" w:cs="Arial"/>
        </w:rPr>
      </w:pPr>
    </w:p>
    <w:p w14:paraId="46C723CA" w14:textId="77777777" w:rsidR="00D135B0" w:rsidRPr="00CB1A2D" w:rsidRDefault="00000000" w:rsidP="00D135B0">
      <w:pPr>
        <w:pStyle w:val="NoSpacing"/>
        <w:rPr>
          <w:rFonts w:ascii="Arial" w:hAnsi="Arial" w:cs="Arial"/>
        </w:rPr>
      </w:pPr>
      <w:hyperlink r:id="rId16" w:history="1">
        <w:r w:rsidR="00D135B0" w:rsidRPr="00100837">
          <w:rPr>
            <w:rStyle w:val="Hyperlink"/>
            <w:rFonts w:ascii="Arial" w:hAnsi="Arial" w:cs="Arial"/>
          </w:rPr>
          <w:t>Read details of our housing services.</w:t>
        </w:r>
      </w:hyperlink>
      <w:r w:rsidR="00D135B0" w:rsidRPr="00CB1A2D">
        <w:rPr>
          <w:rFonts w:ascii="Arial" w:hAnsi="Arial" w:cs="Arial"/>
        </w:rPr>
        <w:t xml:space="preserve"> </w:t>
      </w:r>
    </w:p>
    <w:p w14:paraId="101259C8" w14:textId="5E760885" w:rsidR="00D135B0" w:rsidRDefault="00D135B0" w:rsidP="00D135B0">
      <w:pPr>
        <w:autoSpaceDE w:val="0"/>
        <w:autoSpaceDN w:val="0"/>
        <w:adjustRightInd w:val="0"/>
        <w:spacing w:after="0" w:line="240" w:lineRule="auto"/>
        <w:rPr>
          <w:rFonts w:ascii="Arial" w:hAnsi="Arial" w:cs="Arial"/>
        </w:rPr>
      </w:pPr>
    </w:p>
    <w:p w14:paraId="7131BADE" w14:textId="1BDACDB6" w:rsidR="00D135B0" w:rsidRDefault="00D135B0" w:rsidP="00D135B0">
      <w:pPr>
        <w:autoSpaceDE w:val="0"/>
        <w:autoSpaceDN w:val="0"/>
        <w:adjustRightInd w:val="0"/>
        <w:spacing w:after="0" w:line="240" w:lineRule="auto"/>
        <w:rPr>
          <w:rFonts w:ascii="Arial" w:hAnsi="Arial" w:cs="Arial"/>
        </w:rPr>
      </w:pPr>
    </w:p>
    <w:p w14:paraId="34128AB9" w14:textId="4660993F" w:rsidR="00D135B0" w:rsidRDefault="00D135B0" w:rsidP="00D135B0">
      <w:pPr>
        <w:autoSpaceDE w:val="0"/>
        <w:autoSpaceDN w:val="0"/>
        <w:adjustRightInd w:val="0"/>
        <w:spacing w:after="0" w:line="240" w:lineRule="auto"/>
        <w:rPr>
          <w:rFonts w:ascii="Arial" w:hAnsi="Arial" w:cs="Arial"/>
        </w:rPr>
      </w:pPr>
    </w:p>
    <w:p w14:paraId="02E3EF04" w14:textId="7D5519DB" w:rsidR="00D135B0" w:rsidRDefault="00D135B0" w:rsidP="00D135B0">
      <w:pPr>
        <w:autoSpaceDE w:val="0"/>
        <w:autoSpaceDN w:val="0"/>
        <w:adjustRightInd w:val="0"/>
        <w:spacing w:after="0" w:line="240" w:lineRule="auto"/>
        <w:rPr>
          <w:rFonts w:ascii="Arial" w:hAnsi="Arial" w:cs="Arial"/>
        </w:rPr>
      </w:pPr>
    </w:p>
    <w:p w14:paraId="44CDE99C" w14:textId="2A87EA9A" w:rsidR="00D135B0" w:rsidRDefault="00D135B0" w:rsidP="00D135B0">
      <w:pPr>
        <w:autoSpaceDE w:val="0"/>
        <w:autoSpaceDN w:val="0"/>
        <w:adjustRightInd w:val="0"/>
        <w:spacing w:after="0" w:line="240" w:lineRule="auto"/>
        <w:rPr>
          <w:rFonts w:ascii="Arial" w:hAnsi="Arial" w:cs="Arial"/>
        </w:rPr>
      </w:pPr>
    </w:p>
    <w:p w14:paraId="3B3FE31F" w14:textId="1CF8F98D" w:rsidR="00D135B0" w:rsidRDefault="00D135B0" w:rsidP="00D135B0">
      <w:pPr>
        <w:autoSpaceDE w:val="0"/>
        <w:autoSpaceDN w:val="0"/>
        <w:adjustRightInd w:val="0"/>
        <w:spacing w:after="0" w:line="240" w:lineRule="auto"/>
        <w:rPr>
          <w:rFonts w:ascii="Arial" w:hAnsi="Arial" w:cs="Arial"/>
        </w:rPr>
      </w:pPr>
    </w:p>
    <w:p w14:paraId="168A4F2C" w14:textId="530C0042" w:rsidR="00D135B0" w:rsidRDefault="00D135B0" w:rsidP="00D135B0">
      <w:pPr>
        <w:autoSpaceDE w:val="0"/>
        <w:autoSpaceDN w:val="0"/>
        <w:adjustRightInd w:val="0"/>
        <w:spacing w:after="0" w:line="240" w:lineRule="auto"/>
        <w:rPr>
          <w:rFonts w:ascii="Arial" w:hAnsi="Arial" w:cs="Arial"/>
        </w:rPr>
      </w:pPr>
    </w:p>
    <w:p w14:paraId="0E72C370" w14:textId="63C062E5" w:rsidR="00D135B0" w:rsidRDefault="00D135B0" w:rsidP="00D135B0">
      <w:pPr>
        <w:autoSpaceDE w:val="0"/>
        <w:autoSpaceDN w:val="0"/>
        <w:adjustRightInd w:val="0"/>
        <w:spacing w:after="0" w:line="240" w:lineRule="auto"/>
        <w:rPr>
          <w:rFonts w:ascii="Arial" w:hAnsi="Arial" w:cs="Arial"/>
        </w:rPr>
      </w:pPr>
    </w:p>
    <w:p w14:paraId="669EE8C5" w14:textId="7954B7E3" w:rsidR="00D135B0" w:rsidRDefault="00D135B0" w:rsidP="00D135B0">
      <w:pPr>
        <w:autoSpaceDE w:val="0"/>
        <w:autoSpaceDN w:val="0"/>
        <w:adjustRightInd w:val="0"/>
        <w:spacing w:after="0" w:line="240" w:lineRule="auto"/>
        <w:rPr>
          <w:rFonts w:ascii="Arial" w:hAnsi="Arial" w:cs="Arial"/>
        </w:rPr>
      </w:pPr>
    </w:p>
    <w:p w14:paraId="421F7600" w14:textId="4BFEC5A0" w:rsidR="00D135B0" w:rsidRDefault="00D135B0" w:rsidP="00D135B0">
      <w:pPr>
        <w:autoSpaceDE w:val="0"/>
        <w:autoSpaceDN w:val="0"/>
        <w:adjustRightInd w:val="0"/>
        <w:spacing w:after="0" w:line="240" w:lineRule="auto"/>
        <w:rPr>
          <w:rFonts w:ascii="Arial" w:hAnsi="Arial" w:cs="Arial"/>
        </w:rPr>
      </w:pPr>
    </w:p>
    <w:p w14:paraId="07F06CFC" w14:textId="2D91BB91" w:rsidR="00D135B0" w:rsidRDefault="00D135B0" w:rsidP="00D135B0">
      <w:pPr>
        <w:autoSpaceDE w:val="0"/>
        <w:autoSpaceDN w:val="0"/>
        <w:adjustRightInd w:val="0"/>
        <w:spacing w:after="0" w:line="240" w:lineRule="auto"/>
        <w:rPr>
          <w:rFonts w:ascii="Arial" w:hAnsi="Arial" w:cs="Arial"/>
        </w:rPr>
      </w:pPr>
    </w:p>
    <w:p w14:paraId="4AD5701C" w14:textId="793AB21E" w:rsidR="00D135B0" w:rsidRDefault="00D135B0" w:rsidP="00D135B0">
      <w:pPr>
        <w:autoSpaceDE w:val="0"/>
        <w:autoSpaceDN w:val="0"/>
        <w:adjustRightInd w:val="0"/>
        <w:spacing w:after="0" w:line="240" w:lineRule="auto"/>
        <w:rPr>
          <w:rFonts w:ascii="Arial" w:hAnsi="Arial" w:cs="Arial"/>
        </w:rPr>
      </w:pPr>
    </w:p>
    <w:p w14:paraId="5BD021D5" w14:textId="5AAEC8CF" w:rsidR="00D135B0" w:rsidRDefault="00D135B0" w:rsidP="00D135B0">
      <w:pPr>
        <w:autoSpaceDE w:val="0"/>
        <w:autoSpaceDN w:val="0"/>
        <w:adjustRightInd w:val="0"/>
        <w:spacing w:after="0" w:line="240" w:lineRule="auto"/>
        <w:rPr>
          <w:rFonts w:ascii="Arial" w:hAnsi="Arial" w:cs="Arial"/>
        </w:rPr>
      </w:pPr>
    </w:p>
    <w:p w14:paraId="7E5AA4A2" w14:textId="766AC938" w:rsidR="00D135B0" w:rsidRDefault="00D135B0" w:rsidP="00D135B0">
      <w:pPr>
        <w:autoSpaceDE w:val="0"/>
        <w:autoSpaceDN w:val="0"/>
        <w:adjustRightInd w:val="0"/>
        <w:spacing w:after="0" w:line="240" w:lineRule="auto"/>
        <w:rPr>
          <w:rFonts w:ascii="Arial" w:hAnsi="Arial" w:cs="Arial"/>
        </w:rPr>
      </w:pPr>
    </w:p>
    <w:p w14:paraId="717A2E87" w14:textId="77777777" w:rsidR="00D135B0" w:rsidRDefault="00D135B0" w:rsidP="00D135B0">
      <w:pPr>
        <w:autoSpaceDE w:val="0"/>
        <w:autoSpaceDN w:val="0"/>
        <w:adjustRightInd w:val="0"/>
        <w:spacing w:after="0" w:line="240" w:lineRule="auto"/>
        <w:rPr>
          <w:rFonts w:ascii="Arial" w:hAnsi="Arial" w:cs="Arial"/>
          <w:color w:val="365F91" w:themeColor="accent1" w:themeShade="BF"/>
          <w:sz w:val="24"/>
          <w:szCs w:val="24"/>
        </w:rPr>
      </w:pPr>
    </w:p>
    <w:p w14:paraId="007BF5EB" w14:textId="77777777" w:rsidR="00D135B0" w:rsidRDefault="00D135B0" w:rsidP="00D135B0">
      <w:pPr>
        <w:autoSpaceDE w:val="0"/>
        <w:autoSpaceDN w:val="0"/>
        <w:adjustRightInd w:val="0"/>
        <w:spacing w:after="0" w:line="240" w:lineRule="auto"/>
        <w:rPr>
          <w:rFonts w:ascii="Arial" w:hAnsi="Arial" w:cs="Arial"/>
          <w:color w:val="365F91" w:themeColor="accent1" w:themeShade="BF"/>
          <w:sz w:val="24"/>
          <w:szCs w:val="24"/>
        </w:rPr>
      </w:pPr>
    </w:p>
    <w:p w14:paraId="268619DB" w14:textId="7757DB10" w:rsidR="00D135B0" w:rsidRPr="00D135B0" w:rsidRDefault="00D135B0" w:rsidP="00D135B0">
      <w:pPr>
        <w:autoSpaceDE w:val="0"/>
        <w:autoSpaceDN w:val="0"/>
        <w:adjustRightInd w:val="0"/>
        <w:spacing w:after="0" w:line="240" w:lineRule="auto"/>
        <w:rPr>
          <w:rFonts w:ascii="Arial" w:hAnsi="Arial" w:cs="Arial"/>
          <w:color w:val="365F91" w:themeColor="accent1" w:themeShade="BF"/>
          <w:sz w:val="24"/>
          <w:szCs w:val="24"/>
        </w:rPr>
      </w:pPr>
      <w:r w:rsidRPr="00D135B0">
        <w:rPr>
          <w:rFonts w:ascii="Arial" w:hAnsi="Arial" w:cs="Arial"/>
          <w:color w:val="365F91" w:themeColor="accent1" w:themeShade="BF"/>
          <w:sz w:val="24"/>
          <w:szCs w:val="24"/>
        </w:rPr>
        <w:lastRenderedPageBreak/>
        <w:t>Index</w:t>
      </w:r>
    </w:p>
    <w:p w14:paraId="19C1A31A" w14:textId="77777777" w:rsidR="00D135B0" w:rsidRDefault="00D135B0" w:rsidP="00D135B0">
      <w:pPr>
        <w:autoSpaceDE w:val="0"/>
        <w:autoSpaceDN w:val="0"/>
        <w:adjustRightInd w:val="0"/>
        <w:spacing w:after="0" w:line="240" w:lineRule="auto"/>
        <w:rPr>
          <w:rFonts w:cs="Arial"/>
          <w:color w:val="000000"/>
        </w:rPr>
      </w:pPr>
    </w:p>
    <w:p w14:paraId="349AD7B7" w14:textId="69271E6D" w:rsidR="00D135B0" w:rsidRPr="00D135B0" w:rsidRDefault="00D135B0" w:rsidP="00D135B0">
      <w:pPr>
        <w:pStyle w:val="NoSpacing"/>
        <w:rPr>
          <w:rFonts w:ascii="Arial" w:hAnsi="Arial" w:cs="Arial"/>
          <w:color w:val="1C1E1D"/>
        </w:rPr>
      </w:pPr>
      <w:r w:rsidRPr="00D135B0">
        <w:rPr>
          <w:rFonts w:ascii="Arial" w:hAnsi="Arial" w:cs="Arial"/>
        </w:rPr>
        <w:t xml:space="preserve">The social, public health, housing and wider place-based evidence used in this document is designed to enable us to understand the socio-demographic needs of the borough. All material is benchmarked against </w:t>
      </w:r>
      <w:r w:rsidRPr="00D135B0">
        <w:rPr>
          <w:rFonts w:ascii="Arial" w:hAnsi="Arial" w:cs="Arial"/>
          <w:color w:val="1C1E1D"/>
        </w:rPr>
        <w:t>Kent districts (inc. county), regional and national positions.</w:t>
      </w:r>
      <w:r>
        <w:rPr>
          <w:rFonts w:ascii="Arial" w:hAnsi="Arial" w:cs="Arial"/>
          <w:color w:val="1C1E1D"/>
        </w:rPr>
        <w:br/>
      </w:r>
    </w:p>
    <w:tbl>
      <w:tblPr>
        <w:tblStyle w:val="TableGrid"/>
        <w:tblW w:w="0" w:type="auto"/>
        <w:tblLook w:val="04A0" w:firstRow="1" w:lastRow="0" w:firstColumn="1" w:lastColumn="0" w:noHBand="0" w:noVBand="1"/>
      </w:tblPr>
      <w:tblGrid>
        <w:gridCol w:w="1980"/>
        <w:gridCol w:w="11968"/>
      </w:tblGrid>
      <w:tr w:rsidR="00D135B0" w14:paraId="65A002D2" w14:textId="77777777" w:rsidTr="00A52452">
        <w:tc>
          <w:tcPr>
            <w:tcW w:w="1980" w:type="dxa"/>
            <w:vAlign w:val="center"/>
          </w:tcPr>
          <w:p w14:paraId="78920DCC" w14:textId="77777777" w:rsidR="00D135B0" w:rsidRPr="004A4BAC" w:rsidRDefault="00D135B0" w:rsidP="00A52452">
            <w:pPr>
              <w:pStyle w:val="Default"/>
              <w:jc w:val="center"/>
              <w:rPr>
                <w:rFonts w:ascii="Arial" w:hAnsi="Arial" w:cs="Arial"/>
                <w:color w:val="auto"/>
                <w:sz w:val="22"/>
                <w:szCs w:val="22"/>
              </w:rPr>
            </w:pPr>
            <w:r w:rsidRPr="00430D5E">
              <w:rPr>
                <w:rFonts w:ascii="Arial" w:hAnsi="Arial" w:cs="Arial"/>
                <w:color w:val="auto"/>
                <w:sz w:val="22"/>
                <w:szCs w:val="22"/>
              </w:rPr>
              <w:t>People</w:t>
            </w:r>
          </w:p>
        </w:tc>
        <w:tc>
          <w:tcPr>
            <w:tcW w:w="11968" w:type="dxa"/>
          </w:tcPr>
          <w:p w14:paraId="1628404D" w14:textId="77777777" w:rsidR="00D135B0" w:rsidRPr="004A4BAC" w:rsidRDefault="00D135B0" w:rsidP="00D135B0">
            <w:pPr>
              <w:pStyle w:val="ListParagraph"/>
              <w:numPr>
                <w:ilvl w:val="0"/>
                <w:numId w:val="27"/>
              </w:numPr>
            </w:pPr>
            <w:r w:rsidRPr="004A4BAC">
              <w:t xml:space="preserve">ONS (2021) - Census 2021 </w:t>
            </w:r>
          </w:p>
          <w:p w14:paraId="213780BF" w14:textId="77777777" w:rsidR="00D135B0" w:rsidRPr="004A4BAC" w:rsidRDefault="00D135B0" w:rsidP="00D135B0">
            <w:pPr>
              <w:pStyle w:val="ListParagraph"/>
              <w:numPr>
                <w:ilvl w:val="0"/>
                <w:numId w:val="27"/>
              </w:numPr>
            </w:pPr>
            <w:r w:rsidRPr="004A4BAC">
              <w:t>ONS (202</w:t>
            </w:r>
            <w:r>
              <w:t>2</w:t>
            </w:r>
            <w:r w:rsidRPr="004A4BAC">
              <w:t xml:space="preserve">) - </w:t>
            </w:r>
            <w:hyperlink r:id="rId17" w:history="1">
              <w:r w:rsidRPr="00B472AF">
                <w:t>Population estimates for the UK, England, Wales, Scotland and Northern Ireland</w:t>
              </w:r>
            </w:hyperlink>
            <w:r w:rsidRPr="004A4BAC">
              <w:t xml:space="preserve"> </w:t>
            </w:r>
          </w:p>
          <w:p w14:paraId="6952F0C2" w14:textId="77777777" w:rsidR="00D135B0" w:rsidRPr="004A4BAC" w:rsidRDefault="00D135B0" w:rsidP="00D135B0">
            <w:pPr>
              <w:pStyle w:val="ListParagraph"/>
              <w:numPr>
                <w:ilvl w:val="0"/>
                <w:numId w:val="27"/>
              </w:numPr>
            </w:pPr>
            <w:r w:rsidRPr="004A4BAC">
              <w:t>ONS (2021) - Birth Summary data</w:t>
            </w:r>
          </w:p>
          <w:p w14:paraId="2DEB265B" w14:textId="77777777" w:rsidR="00D135B0" w:rsidRPr="004A4BAC" w:rsidRDefault="00D135B0" w:rsidP="00D135B0">
            <w:pPr>
              <w:pStyle w:val="ListParagraph"/>
              <w:numPr>
                <w:ilvl w:val="0"/>
                <w:numId w:val="27"/>
              </w:numPr>
            </w:pPr>
            <w:r w:rsidRPr="004A4BAC">
              <w:t>ONS (2020) - Moves between English and Welsh local authorities</w:t>
            </w:r>
          </w:p>
          <w:p w14:paraId="312B4FC5" w14:textId="77777777" w:rsidR="00D135B0" w:rsidRPr="00DA5F03" w:rsidRDefault="00D135B0" w:rsidP="00D135B0">
            <w:pPr>
              <w:pStyle w:val="ListParagraph"/>
              <w:numPr>
                <w:ilvl w:val="0"/>
                <w:numId w:val="27"/>
              </w:numPr>
            </w:pPr>
            <w:r w:rsidRPr="004A4BAC">
              <w:t>Department for Work and Pensions (2022) - National Insurance Recording System</w:t>
            </w:r>
          </w:p>
        </w:tc>
      </w:tr>
      <w:tr w:rsidR="00D135B0" w14:paraId="3E65AD75" w14:textId="77777777" w:rsidTr="00A52452">
        <w:tc>
          <w:tcPr>
            <w:tcW w:w="1980" w:type="dxa"/>
            <w:vAlign w:val="center"/>
          </w:tcPr>
          <w:p w14:paraId="46990C5A" w14:textId="77777777" w:rsidR="00D135B0" w:rsidRPr="004A4BAC" w:rsidRDefault="00D135B0" w:rsidP="00A52452">
            <w:pPr>
              <w:jc w:val="center"/>
            </w:pPr>
            <w:r>
              <w:t>Participation</w:t>
            </w:r>
          </w:p>
        </w:tc>
        <w:tc>
          <w:tcPr>
            <w:tcW w:w="11968" w:type="dxa"/>
          </w:tcPr>
          <w:p w14:paraId="787BBF45" w14:textId="77777777" w:rsidR="00D135B0" w:rsidRPr="00DA5F03" w:rsidRDefault="00D135B0" w:rsidP="00D135B0">
            <w:pPr>
              <w:pStyle w:val="ListParagraph"/>
              <w:numPr>
                <w:ilvl w:val="0"/>
                <w:numId w:val="27"/>
              </w:numPr>
            </w:pPr>
            <w:r w:rsidRPr="00DA5F03">
              <w:t xml:space="preserve">Gravesham Borough Council (2023) </w:t>
            </w:r>
            <w:r>
              <w:t>-</w:t>
            </w:r>
            <w:r w:rsidRPr="00DA5F03">
              <w:t xml:space="preserve"> Election results</w:t>
            </w:r>
          </w:p>
        </w:tc>
      </w:tr>
      <w:tr w:rsidR="00D135B0" w14:paraId="16953447" w14:textId="77777777" w:rsidTr="00A52452">
        <w:tc>
          <w:tcPr>
            <w:tcW w:w="1980" w:type="dxa"/>
            <w:vAlign w:val="center"/>
          </w:tcPr>
          <w:p w14:paraId="5DBC30DA" w14:textId="77777777" w:rsidR="00D135B0" w:rsidRPr="004A4BAC" w:rsidRDefault="00D135B0" w:rsidP="00A52452">
            <w:pPr>
              <w:jc w:val="center"/>
            </w:pPr>
            <w:r>
              <w:t>Safety</w:t>
            </w:r>
          </w:p>
        </w:tc>
        <w:tc>
          <w:tcPr>
            <w:tcW w:w="11968" w:type="dxa"/>
          </w:tcPr>
          <w:p w14:paraId="17AB02C0" w14:textId="77777777" w:rsidR="00D135B0" w:rsidRPr="00DA5F03" w:rsidRDefault="00D135B0" w:rsidP="00D135B0">
            <w:pPr>
              <w:pStyle w:val="ListParagraph"/>
              <w:numPr>
                <w:ilvl w:val="0"/>
                <w:numId w:val="27"/>
              </w:numPr>
            </w:pPr>
            <w:r w:rsidRPr="00DA5F03">
              <w:t xml:space="preserve">Gravesham </w:t>
            </w:r>
            <w:r>
              <w:t xml:space="preserve">Community Safety Partnership - </w:t>
            </w:r>
            <w:r w:rsidRPr="00DA5F03">
              <w:t>Annual</w:t>
            </w:r>
            <w:r>
              <w:t xml:space="preserve"> </w:t>
            </w:r>
            <w:r w:rsidRPr="00DA5F03">
              <w:t>Strategic Assessment</w:t>
            </w:r>
            <w:r>
              <w:t xml:space="preserve"> </w:t>
            </w:r>
            <w:r w:rsidRPr="00DA5F03">
              <w:t>2022</w:t>
            </w:r>
          </w:p>
        </w:tc>
      </w:tr>
      <w:tr w:rsidR="00D135B0" w14:paraId="5FA02127" w14:textId="77777777" w:rsidTr="00A52452">
        <w:tc>
          <w:tcPr>
            <w:tcW w:w="1980" w:type="dxa"/>
            <w:vAlign w:val="center"/>
          </w:tcPr>
          <w:p w14:paraId="750347EE" w14:textId="77777777" w:rsidR="00D135B0" w:rsidRPr="004A4BAC" w:rsidRDefault="00D135B0" w:rsidP="00A52452">
            <w:pPr>
              <w:jc w:val="center"/>
            </w:pPr>
            <w:r>
              <w:t>Economy</w:t>
            </w:r>
          </w:p>
        </w:tc>
        <w:tc>
          <w:tcPr>
            <w:tcW w:w="11968" w:type="dxa"/>
            <w:shd w:val="clear" w:color="auto" w:fill="auto"/>
          </w:tcPr>
          <w:p w14:paraId="19EB61E3" w14:textId="77777777" w:rsidR="00D135B0" w:rsidRDefault="00D135B0" w:rsidP="00D135B0">
            <w:pPr>
              <w:pStyle w:val="ListParagraph"/>
              <w:numPr>
                <w:ilvl w:val="0"/>
                <w:numId w:val="27"/>
              </w:numPr>
            </w:pPr>
            <w:r w:rsidRPr="004D3B3E">
              <w:t>ONS (2023) - Business Demograph</w:t>
            </w:r>
            <w:r>
              <w:t>y</w:t>
            </w:r>
          </w:p>
          <w:p w14:paraId="7616EEA5" w14:textId="77777777" w:rsidR="00D135B0" w:rsidRDefault="00D135B0" w:rsidP="00D135B0">
            <w:pPr>
              <w:pStyle w:val="ListParagraph"/>
              <w:numPr>
                <w:ilvl w:val="0"/>
                <w:numId w:val="27"/>
              </w:numPr>
            </w:pPr>
            <w:r w:rsidRPr="004D3B3E">
              <w:t>ONS (2022) - Business Register and Employment Survey</w:t>
            </w:r>
          </w:p>
          <w:p w14:paraId="68CE1E15" w14:textId="77777777" w:rsidR="00D135B0" w:rsidRPr="00B472AF" w:rsidRDefault="00D135B0" w:rsidP="00D135B0">
            <w:pPr>
              <w:pStyle w:val="ListParagraph"/>
              <w:numPr>
                <w:ilvl w:val="0"/>
                <w:numId w:val="27"/>
              </w:numPr>
            </w:pPr>
            <w:r w:rsidRPr="00B472AF">
              <w:t>ONS (2022) - UK Business: Activity, Size and Location</w:t>
            </w:r>
          </w:p>
          <w:p w14:paraId="46650C6E" w14:textId="77777777" w:rsidR="00D135B0" w:rsidRDefault="00D135B0" w:rsidP="00D135B0">
            <w:pPr>
              <w:pStyle w:val="ListParagraph"/>
              <w:numPr>
                <w:ilvl w:val="0"/>
                <w:numId w:val="27"/>
              </w:numPr>
            </w:pPr>
            <w:r>
              <w:t>ONS (2023) - Subnational indicators explorer</w:t>
            </w:r>
          </w:p>
          <w:p w14:paraId="2D9ABB05" w14:textId="77777777" w:rsidR="00D135B0" w:rsidRDefault="00D135B0" w:rsidP="00D135B0">
            <w:pPr>
              <w:pStyle w:val="ListParagraph"/>
              <w:numPr>
                <w:ilvl w:val="0"/>
                <w:numId w:val="27"/>
              </w:numPr>
            </w:pPr>
            <w:r>
              <w:t>ONS (2023) - Subregional productivity in the UK</w:t>
            </w:r>
          </w:p>
          <w:p w14:paraId="2405673D" w14:textId="77777777" w:rsidR="00D135B0" w:rsidRDefault="00D135B0" w:rsidP="00D135B0">
            <w:pPr>
              <w:pStyle w:val="ListParagraph"/>
              <w:numPr>
                <w:ilvl w:val="0"/>
                <w:numId w:val="27"/>
              </w:numPr>
            </w:pPr>
            <w:r>
              <w:t xml:space="preserve">ONS (2023) - </w:t>
            </w:r>
            <w:r w:rsidRPr="0035477F">
              <w:rPr>
                <w:rFonts w:eastAsia="Times New Roman" w:cs="Arial"/>
                <w:color w:val="000000"/>
                <w:lang w:eastAsia="en-GB"/>
              </w:rPr>
              <w:t>Annual Survey of Hours and Earnings</w:t>
            </w:r>
            <w:r>
              <w:t xml:space="preserve">  </w:t>
            </w:r>
          </w:p>
          <w:p w14:paraId="7E566061" w14:textId="77777777" w:rsidR="00D135B0" w:rsidRDefault="00D135B0" w:rsidP="00D135B0">
            <w:pPr>
              <w:pStyle w:val="ListParagraph"/>
              <w:numPr>
                <w:ilvl w:val="0"/>
                <w:numId w:val="27"/>
              </w:numPr>
            </w:pPr>
            <w:r>
              <w:t>ONS (2023) - Claimant Count by Sex and Age</w:t>
            </w:r>
          </w:p>
          <w:p w14:paraId="52BC658B" w14:textId="77777777" w:rsidR="00D135B0" w:rsidRPr="004D3B3E" w:rsidRDefault="00D135B0" w:rsidP="00D135B0">
            <w:pPr>
              <w:pStyle w:val="ListParagraph"/>
              <w:numPr>
                <w:ilvl w:val="0"/>
                <w:numId w:val="27"/>
              </w:numPr>
            </w:pPr>
            <w:r>
              <w:t>ONS (2023) - Annual Population Survey</w:t>
            </w:r>
          </w:p>
          <w:p w14:paraId="20906C86" w14:textId="77777777" w:rsidR="00D135B0" w:rsidRPr="004D3B3E" w:rsidRDefault="00D135B0" w:rsidP="00D135B0">
            <w:pPr>
              <w:pStyle w:val="ListParagraph"/>
              <w:numPr>
                <w:ilvl w:val="0"/>
                <w:numId w:val="27"/>
              </w:numPr>
            </w:pPr>
            <w:r w:rsidRPr="004D3B3E">
              <w:t xml:space="preserve">Department for Work and Pensions (2023) </w:t>
            </w:r>
            <w:r>
              <w:t>–</w:t>
            </w:r>
            <w:r w:rsidRPr="004D3B3E">
              <w:t xml:space="preserve"> Benefit claimant National Insurance Recording System</w:t>
            </w:r>
          </w:p>
        </w:tc>
      </w:tr>
      <w:tr w:rsidR="00D135B0" w14:paraId="1EFA778B" w14:textId="77777777" w:rsidTr="00A52452">
        <w:tc>
          <w:tcPr>
            <w:tcW w:w="1980" w:type="dxa"/>
            <w:vAlign w:val="center"/>
          </w:tcPr>
          <w:p w14:paraId="1D24B228" w14:textId="77777777" w:rsidR="00D135B0" w:rsidRPr="004A4BAC" w:rsidRDefault="00D135B0" w:rsidP="00A52452">
            <w:pPr>
              <w:jc w:val="center"/>
            </w:pPr>
            <w:r>
              <w:t>Education</w:t>
            </w:r>
          </w:p>
        </w:tc>
        <w:tc>
          <w:tcPr>
            <w:tcW w:w="11968" w:type="dxa"/>
          </w:tcPr>
          <w:p w14:paraId="23D36BF8" w14:textId="77777777" w:rsidR="00D135B0" w:rsidRDefault="00D135B0" w:rsidP="00D135B0">
            <w:pPr>
              <w:pStyle w:val="ListParagraph"/>
              <w:numPr>
                <w:ilvl w:val="0"/>
                <w:numId w:val="28"/>
              </w:numPr>
            </w:pPr>
            <w:r>
              <w:t xml:space="preserve">Kent County Council (2022) - School Census </w:t>
            </w:r>
          </w:p>
          <w:p w14:paraId="00E1CEDB" w14:textId="77777777" w:rsidR="00D135B0" w:rsidRDefault="00D135B0" w:rsidP="00D135B0">
            <w:pPr>
              <w:pStyle w:val="ListParagraph"/>
              <w:numPr>
                <w:ilvl w:val="0"/>
                <w:numId w:val="28"/>
              </w:numPr>
            </w:pPr>
            <w:r w:rsidRPr="00FC46E4">
              <w:t>Department for Education</w:t>
            </w:r>
            <w:r>
              <w:t xml:space="preserve"> (2022) - Pupil Characteristics</w:t>
            </w:r>
          </w:p>
          <w:p w14:paraId="71C95F27" w14:textId="77777777" w:rsidR="00D135B0" w:rsidRPr="00FC46E4" w:rsidRDefault="00D135B0" w:rsidP="00D135B0">
            <w:pPr>
              <w:pStyle w:val="ListParagraph"/>
              <w:numPr>
                <w:ilvl w:val="0"/>
                <w:numId w:val="28"/>
              </w:numPr>
            </w:pPr>
            <w:r w:rsidRPr="00FC46E4">
              <w:t>Department for Education (2023) - Performance Tables</w:t>
            </w:r>
          </w:p>
          <w:p w14:paraId="555452D4" w14:textId="77777777" w:rsidR="00D135B0" w:rsidRPr="00FC46E4" w:rsidRDefault="00D135B0" w:rsidP="00D135B0">
            <w:pPr>
              <w:pStyle w:val="ListParagraph"/>
              <w:numPr>
                <w:ilvl w:val="0"/>
                <w:numId w:val="28"/>
              </w:numPr>
              <w:rPr>
                <w:u w:val="single"/>
              </w:rPr>
            </w:pPr>
            <w:r>
              <w:t xml:space="preserve">Ofsted </w:t>
            </w:r>
            <w:r w:rsidRPr="00FC46E4">
              <w:t>(2023</w:t>
            </w:r>
            <w:r>
              <w:t>) - Inspection Reports</w:t>
            </w:r>
          </w:p>
        </w:tc>
      </w:tr>
      <w:tr w:rsidR="00D135B0" w14:paraId="52426E87" w14:textId="77777777" w:rsidTr="00A52452">
        <w:tc>
          <w:tcPr>
            <w:tcW w:w="1980" w:type="dxa"/>
            <w:vAlign w:val="center"/>
          </w:tcPr>
          <w:p w14:paraId="09C8D1E3" w14:textId="77777777" w:rsidR="00D135B0" w:rsidRPr="004A4BAC" w:rsidRDefault="00D135B0" w:rsidP="00A52452">
            <w:pPr>
              <w:jc w:val="center"/>
            </w:pPr>
            <w:r w:rsidRPr="004A4BAC">
              <w:t>Health</w:t>
            </w:r>
          </w:p>
        </w:tc>
        <w:tc>
          <w:tcPr>
            <w:tcW w:w="11968" w:type="dxa"/>
          </w:tcPr>
          <w:p w14:paraId="7828A264" w14:textId="77777777" w:rsidR="00D135B0" w:rsidRPr="00FC46E4" w:rsidRDefault="00D135B0" w:rsidP="00D135B0">
            <w:pPr>
              <w:pStyle w:val="ListParagraph"/>
              <w:numPr>
                <w:ilvl w:val="0"/>
                <w:numId w:val="28"/>
              </w:numPr>
            </w:pPr>
            <w:r w:rsidRPr="00FC46E4">
              <w:t>Office for Health Improvements &amp; Disparities (2023)</w:t>
            </w:r>
            <w:r>
              <w:t xml:space="preserve"> - </w:t>
            </w:r>
            <w:r w:rsidRPr="00FC46E4">
              <w:t>Local Authority Health Profiles</w:t>
            </w:r>
          </w:p>
          <w:p w14:paraId="49EAC79F" w14:textId="77777777" w:rsidR="00D135B0" w:rsidRPr="00FC46E4" w:rsidRDefault="00D135B0" w:rsidP="00D135B0">
            <w:pPr>
              <w:pStyle w:val="ListParagraph"/>
              <w:numPr>
                <w:ilvl w:val="0"/>
                <w:numId w:val="28"/>
              </w:numPr>
            </w:pPr>
            <w:r w:rsidRPr="00FC46E4">
              <w:t>Office for Health Improvements &amp; Disparities (2023)</w:t>
            </w:r>
            <w:r>
              <w:t xml:space="preserve"> - </w:t>
            </w:r>
            <w:r w:rsidRPr="00FC46E4">
              <w:t>Public Health Outcomes Framework</w:t>
            </w:r>
          </w:p>
          <w:p w14:paraId="4EF8EAD0" w14:textId="4BF74BE3" w:rsidR="00D135B0" w:rsidRDefault="00D135B0" w:rsidP="00D135B0">
            <w:pPr>
              <w:pStyle w:val="ListParagraph"/>
              <w:numPr>
                <w:ilvl w:val="0"/>
                <w:numId w:val="28"/>
              </w:numPr>
            </w:pPr>
            <w:r w:rsidRPr="00FC46E4">
              <w:t xml:space="preserve">Census 2021 </w:t>
            </w:r>
            <w:r>
              <w:t xml:space="preserve">- </w:t>
            </w:r>
            <w:r w:rsidRPr="00FC46E4">
              <w:t>Provision of Unpaid Care</w:t>
            </w:r>
          </w:p>
          <w:p w14:paraId="3E55156A" w14:textId="77777777" w:rsidR="00D135B0" w:rsidRPr="00FC46E4" w:rsidRDefault="00D135B0" w:rsidP="00D135B0">
            <w:pPr>
              <w:pStyle w:val="ListParagraph"/>
              <w:numPr>
                <w:ilvl w:val="0"/>
                <w:numId w:val="28"/>
              </w:numPr>
            </w:pPr>
            <w:r>
              <w:t xml:space="preserve">ONS (2023) - </w:t>
            </w:r>
            <w:r w:rsidRPr="00FC46E4">
              <w:t>Personal well-being in the UK </w:t>
            </w:r>
          </w:p>
          <w:p w14:paraId="612353E7" w14:textId="77777777" w:rsidR="00D135B0" w:rsidRDefault="00D135B0" w:rsidP="00D135B0">
            <w:pPr>
              <w:pStyle w:val="ListParagraph"/>
              <w:numPr>
                <w:ilvl w:val="0"/>
                <w:numId w:val="28"/>
              </w:numPr>
            </w:pPr>
            <w:r w:rsidRPr="00FC46E4">
              <w:t xml:space="preserve">Department for Levelling Up, Housing and Communities (2019) </w:t>
            </w:r>
            <w:r>
              <w:t>-</w:t>
            </w:r>
            <w:r w:rsidRPr="00FC46E4">
              <w:t xml:space="preserve"> English Indices of Deprivation</w:t>
            </w:r>
          </w:p>
          <w:p w14:paraId="2356C14D" w14:textId="77777777" w:rsidR="00D135B0" w:rsidRPr="00FC46E4" w:rsidRDefault="00D135B0" w:rsidP="00D135B0">
            <w:pPr>
              <w:pStyle w:val="ListParagraph"/>
              <w:numPr>
                <w:ilvl w:val="0"/>
                <w:numId w:val="28"/>
              </w:numPr>
            </w:pPr>
            <w:r>
              <w:t>Sport England (2023) - Active Lives Survey</w:t>
            </w:r>
          </w:p>
        </w:tc>
      </w:tr>
      <w:tr w:rsidR="00D135B0" w14:paraId="06524092" w14:textId="77777777" w:rsidTr="00D135B0">
        <w:trPr>
          <w:trHeight w:val="144"/>
        </w:trPr>
        <w:tc>
          <w:tcPr>
            <w:tcW w:w="1980" w:type="dxa"/>
            <w:vAlign w:val="center"/>
          </w:tcPr>
          <w:p w14:paraId="59971CCA" w14:textId="77777777" w:rsidR="00D135B0" w:rsidRPr="004A4BAC" w:rsidRDefault="00D135B0" w:rsidP="00A52452">
            <w:pPr>
              <w:jc w:val="center"/>
            </w:pPr>
            <w:r>
              <w:t>Housing</w:t>
            </w:r>
          </w:p>
        </w:tc>
        <w:tc>
          <w:tcPr>
            <w:tcW w:w="11968" w:type="dxa"/>
          </w:tcPr>
          <w:p w14:paraId="153852DE" w14:textId="77777777" w:rsidR="00D135B0" w:rsidRPr="0050449B" w:rsidRDefault="00D135B0" w:rsidP="00D135B0">
            <w:pPr>
              <w:pStyle w:val="ListParagraph"/>
              <w:numPr>
                <w:ilvl w:val="0"/>
                <w:numId w:val="29"/>
              </w:numPr>
              <w:rPr>
                <w:u w:val="single"/>
              </w:rPr>
            </w:pPr>
            <w:r>
              <w:t>Kent County Council - Housing Information Audit</w:t>
            </w:r>
          </w:p>
          <w:p w14:paraId="3B25E27A" w14:textId="210C3527" w:rsidR="00D135B0" w:rsidRPr="00841C21" w:rsidRDefault="00D135B0" w:rsidP="00D8059F">
            <w:pPr>
              <w:pStyle w:val="ListParagraph"/>
              <w:numPr>
                <w:ilvl w:val="0"/>
                <w:numId w:val="29"/>
              </w:numPr>
            </w:pPr>
            <w:r w:rsidRPr="00841C21">
              <w:t xml:space="preserve">Census 2021 </w:t>
            </w:r>
            <w:r>
              <w:t>-</w:t>
            </w:r>
            <w:r w:rsidRPr="00841C21">
              <w:t xml:space="preserve"> Occupancy rating for bedrooms</w:t>
            </w:r>
            <w:r>
              <w:t xml:space="preserve"> &amp; </w:t>
            </w:r>
            <w:r w:rsidRPr="00841C21">
              <w:t>Housing tenure</w:t>
            </w:r>
          </w:p>
          <w:p w14:paraId="376E3065" w14:textId="77777777" w:rsidR="00D135B0" w:rsidRPr="00841C21" w:rsidRDefault="00D135B0" w:rsidP="00D135B0">
            <w:pPr>
              <w:pStyle w:val="ListParagraph"/>
              <w:numPr>
                <w:ilvl w:val="0"/>
                <w:numId w:val="29"/>
              </w:numPr>
              <w:rPr>
                <w:u w:val="single"/>
              </w:rPr>
            </w:pPr>
            <w:r w:rsidRPr="00841C21">
              <w:t>ONS (2022)</w:t>
            </w:r>
            <w:r>
              <w:t xml:space="preserve"> - </w:t>
            </w:r>
            <w:r w:rsidRPr="00841C21">
              <w:t>Private Rental</w:t>
            </w:r>
            <w:r>
              <w:t xml:space="preserve"> market statistics</w:t>
            </w:r>
          </w:p>
          <w:p w14:paraId="194376E0" w14:textId="77777777" w:rsidR="00D135B0" w:rsidRPr="0050449B" w:rsidRDefault="00D135B0" w:rsidP="00D135B0">
            <w:pPr>
              <w:pStyle w:val="ListParagraph"/>
              <w:numPr>
                <w:ilvl w:val="0"/>
                <w:numId w:val="29"/>
              </w:numPr>
              <w:rPr>
                <w:u w:val="single"/>
              </w:rPr>
            </w:pPr>
            <w:r w:rsidRPr="00FC46E4">
              <w:t>Department for Levelling Up, Housing and Communities</w:t>
            </w:r>
            <w:r>
              <w:t xml:space="preserve"> (2023) - Live housing tables</w:t>
            </w:r>
          </w:p>
          <w:p w14:paraId="4C341D3B" w14:textId="77777777" w:rsidR="00D135B0" w:rsidRPr="0050449B" w:rsidRDefault="00D135B0" w:rsidP="00D135B0">
            <w:pPr>
              <w:pStyle w:val="ListParagraph"/>
              <w:numPr>
                <w:ilvl w:val="0"/>
                <w:numId w:val="29"/>
              </w:numPr>
              <w:rPr>
                <w:u w:val="single"/>
              </w:rPr>
            </w:pPr>
            <w:r>
              <w:t>HM Land Registry (2023) - Open Data Standard Reports</w:t>
            </w:r>
          </w:p>
        </w:tc>
      </w:tr>
    </w:tbl>
    <w:p w14:paraId="0DEE205E" w14:textId="77777777" w:rsidR="00DC3470" w:rsidRPr="00DC3470" w:rsidRDefault="00DC3470" w:rsidP="00DC3470">
      <w:pPr>
        <w:autoSpaceDE w:val="0"/>
        <w:autoSpaceDN w:val="0"/>
        <w:adjustRightInd w:val="0"/>
        <w:spacing w:after="0" w:line="240" w:lineRule="auto"/>
        <w:rPr>
          <w:rFonts w:ascii="Arial" w:eastAsia="Arial" w:hAnsi="Arial" w:cs="Arial"/>
          <w:color w:val="2F5496"/>
          <w:sz w:val="26"/>
          <w:szCs w:val="26"/>
        </w:rPr>
      </w:pPr>
      <w:r w:rsidRPr="00DC3470">
        <w:rPr>
          <w:rFonts w:ascii="Arial" w:eastAsia="Arial" w:hAnsi="Arial" w:cs="Arial"/>
          <w:color w:val="2F5496"/>
          <w:sz w:val="26"/>
          <w:szCs w:val="26"/>
        </w:rPr>
        <w:lastRenderedPageBreak/>
        <w:t>Tables</w:t>
      </w:r>
    </w:p>
    <w:p w14:paraId="035C626F" w14:textId="77777777" w:rsidR="00DC3470" w:rsidRPr="00DC3470" w:rsidRDefault="00DC3470" w:rsidP="00DC3470">
      <w:pPr>
        <w:autoSpaceDE w:val="0"/>
        <w:autoSpaceDN w:val="0"/>
        <w:adjustRightInd w:val="0"/>
        <w:spacing w:after="0" w:line="240" w:lineRule="auto"/>
        <w:rPr>
          <w:rFonts w:ascii="Arial" w:eastAsia="Arial" w:hAnsi="Arial" w:cs="Arial"/>
          <w:color w:val="2F5496"/>
          <w:sz w:val="26"/>
          <w:szCs w:val="26"/>
        </w:rPr>
      </w:pPr>
    </w:p>
    <w:p w14:paraId="0A38FD37"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288F2ADE" wp14:editId="3B803259">
            <wp:extent cx="6781800" cy="2735580"/>
            <wp:effectExtent l="0" t="0" r="0" b="7620"/>
            <wp:docPr id="1" name="Chart 1">
              <a:extLst xmlns:a="http://schemas.openxmlformats.org/drawingml/2006/main">
                <a:ext uri="{FF2B5EF4-FFF2-40B4-BE49-F238E27FC236}">
                  <a16:creationId xmlns:a16="http://schemas.microsoft.com/office/drawing/2014/main" id="{1325E344-1D10-3EB3-72AA-4BB8B178A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56E5FF"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333A3308" wp14:editId="573CC131">
            <wp:extent cx="6781800" cy="3017520"/>
            <wp:effectExtent l="0" t="0" r="0" b="0"/>
            <wp:docPr id="2" name="Chart 2">
              <a:extLst xmlns:a="http://schemas.openxmlformats.org/drawingml/2006/main">
                <a:ext uri="{FF2B5EF4-FFF2-40B4-BE49-F238E27FC236}">
                  <a16:creationId xmlns:a16="http://schemas.microsoft.com/office/drawing/2014/main" id="{CBFC909C-78FD-2CBB-97A1-8879050D3E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4F526E7" w14:textId="40185F91" w:rsid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41FD5CB7" wp14:editId="2FDAACC7">
            <wp:extent cx="6705600" cy="2926080"/>
            <wp:effectExtent l="0" t="0" r="0" b="7620"/>
            <wp:docPr id="3" name="Chart 3">
              <a:extLst xmlns:a="http://schemas.openxmlformats.org/drawingml/2006/main">
                <a:ext uri="{FF2B5EF4-FFF2-40B4-BE49-F238E27FC236}">
                  <a16:creationId xmlns:a16="http://schemas.microsoft.com/office/drawing/2014/main" id="{45941D5F-47F5-7AE7-DB11-E8BDE50F02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E22730"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73230F07" wp14:editId="6718A4F8">
            <wp:extent cx="6713220" cy="3131820"/>
            <wp:effectExtent l="0" t="0" r="0" b="0"/>
            <wp:docPr id="4" name="Chart 4">
              <a:extLst xmlns:a="http://schemas.openxmlformats.org/drawingml/2006/main">
                <a:ext uri="{FF2B5EF4-FFF2-40B4-BE49-F238E27FC236}">
                  <a16:creationId xmlns:a16="http://schemas.microsoft.com/office/drawing/2014/main" id="{1CC46F70-44DB-B2B1-5B1E-021AA6B8F4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D82C8CD"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7E499845" wp14:editId="68638035">
            <wp:extent cx="6728460" cy="2979420"/>
            <wp:effectExtent l="0" t="0" r="0" b="0"/>
            <wp:docPr id="5" name="Chart 5">
              <a:extLst xmlns:a="http://schemas.openxmlformats.org/drawingml/2006/main">
                <a:ext uri="{FF2B5EF4-FFF2-40B4-BE49-F238E27FC236}">
                  <a16:creationId xmlns:a16="http://schemas.microsoft.com/office/drawing/2014/main" id="{0C731EA2-1D33-177D-B5ED-8B4697FA5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D5E55A8"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4C3A55E2" wp14:editId="74FD96C4">
            <wp:extent cx="6713220" cy="3009900"/>
            <wp:effectExtent l="0" t="0" r="0" b="0"/>
            <wp:docPr id="21" name="Chart 21">
              <a:extLst xmlns:a="http://schemas.openxmlformats.org/drawingml/2006/main">
                <a:ext uri="{FF2B5EF4-FFF2-40B4-BE49-F238E27FC236}">
                  <a16:creationId xmlns:a16="http://schemas.microsoft.com/office/drawing/2014/main" id="{6A91D64E-AB24-AEEE-8500-A64A0BFB8A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A54190A"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3F8DCAF9" wp14:editId="3DB09058">
            <wp:extent cx="6736080" cy="2827020"/>
            <wp:effectExtent l="0" t="0" r="7620" b="0"/>
            <wp:docPr id="7" name="Chart 7">
              <a:extLst xmlns:a="http://schemas.openxmlformats.org/drawingml/2006/main">
                <a:ext uri="{FF2B5EF4-FFF2-40B4-BE49-F238E27FC236}">
                  <a16:creationId xmlns:a16="http://schemas.microsoft.com/office/drawing/2014/main" id="{4C09DFA6-9EAC-5DA6-3D10-F3E3B0EE49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7519596"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399E4A4C" wp14:editId="089526A5">
            <wp:extent cx="6736080" cy="2979420"/>
            <wp:effectExtent l="0" t="0" r="7620" b="0"/>
            <wp:docPr id="8" name="Chart 8">
              <a:extLst xmlns:a="http://schemas.openxmlformats.org/drawingml/2006/main">
                <a:ext uri="{FF2B5EF4-FFF2-40B4-BE49-F238E27FC236}">
                  <a16:creationId xmlns:a16="http://schemas.microsoft.com/office/drawing/2014/main" id="{C61DDE81-D120-AC20-64A7-B187ED5860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E4661F" w14:textId="77777777" w:rsidR="00DC3470" w:rsidRPr="00DC3470" w:rsidRDefault="00DC3470" w:rsidP="00DC3470">
      <w:pPr>
        <w:spacing w:after="160" w:line="259" w:lineRule="auto"/>
        <w:jc w:val="center"/>
        <w:rPr>
          <w:rFonts w:ascii="Arial" w:eastAsia="Calibri" w:hAnsi="Arial" w:cs="Times New Roman"/>
        </w:rPr>
      </w:pPr>
    </w:p>
    <w:p w14:paraId="082E89CF"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5CF84408" wp14:editId="3B56DAAC">
            <wp:extent cx="6736080" cy="2788920"/>
            <wp:effectExtent l="0" t="0" r="7620" b="0"/>
            <wp:docPr id="16" name="Chart 16">
              <a:extLst xmlns:a="http://schemas.openxmlformats.org/drawingml/2006/main">
                <a:ext uri="{FF2B5EF4-FFF2-40B4-BE49-F238E27FC236}">
                  <a16:creationId xmlns:a16="http://schemas.microsoft.com/office/drawing/2014/main" id="{456C899C-3162-7467-1DEF-34B5ECAB66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C6975CE"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0E0FC451" wp14:editId="0DEB0403">
            <wp:extent cx="6743700" cy="2971800"/>
            <wp:effectExtent l="0" t="0" r="0" b="0"/>
            <wp:docPr id="17" name="Chart 17">
              <a:extLst xmlns:a="http://schemas.openxmlformats.org/drawingml/2006/main">
                <a:ext uri="{FF2B5EF4-FFF2-40B4-BE49-F238E27FC236}">
                  <a16:creationId xmlns:a16="http://schemas.microsoft.com/office/drawing/2014/main" id="{12CB6B97-3564-66CB-D72E-AEF2FB4993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4D95519"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0C059D7E" wp14:editId="3BB01D14">
            <wp:extent cx="6789420" cy="3078480"/>
            <wp:effectExtent l="0" t="0" r="0" b="7620"/>
            <wp:docPr id="12" name="Chart 12">
              <a:extLst xmlns:a="http://schemas.openxmlformats.org/drawingml/2006/main">
                <a:ext uri="{FF2B5EF4-FFF2-40B4-BE49-F238E27FC236}">
                  <a16:creationId xmlns:a16="http://schemas.microsoft.com/office/drawing/2014/main" id="{4B17DAA5-3510-7C22-A16F-E80CCD060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0A28443"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5D411775" wp14:editId="6EBD82DA">
            <wp:extent cx="6789420" cy="3017520"/>
            <wp:effectExtent l="0" t="0" r="0" b="0"/>
            <wp:docPr id="38" name="Chart 38">
              <a:extLst xmlns:a="http://schemas.openxmlformats.org/drawingml/2006/main">
                <a:ext uri="{FF2B5EF4-FFF2-40B4-BE49-F238E27FC236}">
                  <a16:creationId xmlns:a16="http://schemas.microsoft.com/office/drawing/2014/main" id="{D32A2024-24D4-66B7-36FD-9499CE3711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E7577F5"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6738A577" wp14:editId="0330BA99">
            <wp:extent cx="6804660" cy="2956560"/>
            <wp:effectExtent l="0" t="0" r="0" b="0"/>
            <wp:docPr id="14" name="Chart 14">
              <a:extLst xmlns:a="http://schemas.openxmlformats.org/drawingml/2006/main">
                <a:ext uri="{FF2B5EF4-FFF2-40B4-BE49-F238E27FC236}">
                  <a16:creationId xmlns:a16="http://schemas.microsoft.com/office/drawing/2014/main" id="{830CA3FD-B0A3-994B-E0B9-2B5CA9793F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B87A316"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7F73366D" wp14:editId="01FBF24F">
            <wp:extent cx="6819900" cy="3162300"/>
            <wp:effectExtent l="0" t="0" r="0" b="0"/>
            <wp:docPr id="15" name="Chart 15">
              <a:extLst xmlns:a="http://schemas.openxmlformats.org/drawingml/2006/main">
                <a:ext uri="{FF2B5EF4-FFF2-40B4-BE49-F238E27FC236}">
                  <a16:creationId xmlns:a16="http://schemas.microsoft.com/office/drawing/2014/main" id="{F95C4DCE-C784-DAD2-7079-D4F1FBC4F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D790CF3"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398B6ABC" wp14:editId="2BE470F8">
            <wp:extent cx="6751320" cy="3032760"/>
            <wp:effectExtent l="0" t="0" r="0" b="0"/>
            <wp:docPr id="18" name="Chart 18">
              <a:extLst xmlns:a="http://schemas.openxmlformats.org/drawingml/2006/main">
                <a:ext uri="{FF2B5EF4-FFF2-40B4-BE49-F238E27FC236}">
                  <a16:creationId xmlns:a16="http://schemas.microsoft.com/office/drawing/2014/main" id="{B9C622DC-9750-1B6E-BFB6-CB18962C82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7F28884"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4102F5FC" wp14:editId="3482AA1F">
            <wp:extent cx="6781800" cy="3017520"/>
            <wp:effectExtent l="0" t="0" r="0" b="0"/>
            <wp:docPr id="37" name="Chart 37">
              <a:extLst xmlns:a="http://schemas.openxmlformats.org/drawingml/2006/main">
                <a:ext uri="{FF2B5EF4-FFF2-40B4-BE49-F238E27FC236}">
                  <a16:creationId xmlns:a16="http://schemas.microsoft.com/office/drawing/2014/main" id="{29875539-CCAA-62DD-3933-4BC7126EC9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F481EDF"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06533E61" wp14:editId="38E6C5AA">
            <wp:extent cx="6697980" cy="3093720"/>
            <wp:effectExtent l="0" t="0" r="7620" b="0"/>
            <wp:docPr id="20" name="Chart 20">
              <a:extLst xmlns:a="http://schemas.openxmlformats.org/drawingml/2006/main">
                <a:ext uri="{FF2B5EF4-FFF2-40B4-BE49-F238E27FC236}">
                  <a16:creationId xmlns:a16="http://schemas.microsoft.com/office/drawing/2014/main" id="{3D3ADE36-76F1-0D42-2CCC-62E8F695B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CD51C51"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2EE2A376" wp14:editId="25E5576D">
            <wp:extent cx="6713220" cy="3055620"/>
            <wp:effectExtent l="0" t="0" r="0" b="0"/>
            <wp:docPr id="36" name="Chart 36">
              <a:extLst xmlns:a="http://schemas.openxmlformats.org/drawingml/2006/main">
                <a:ext uri="{FF2B5EF4-FFF2-40B4-BE49-F238E27FC236}">
                  <a16:creationId xmlns:a16="http://schemas.microsoft.com/office/drawing/2014/main" id="{27C0A52B-433A-5B41-706E-C9AFA2A8E0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31FE541"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3B93219E" wp14:editId="67EB3C0B">
            <wp:extent cx="6675120" cy="3139440"/>
            <wp:effectExtent l="0" t="0" r="0" b="0"/>
            <wp:docPr id="22" name="Chart 22">
              <a:extLst xmlns:a="http://schemas.openxmlformats.org/drawingml/2006/main">
                <a:ext uri="{FF2B5EF4-FFF2-40B4-BE49-F238E27FC236}">
                  <a16:creationId xmlns:a16="http://schemas.microsoft.com/office/drawing/2014/main" id="{A72C0B19-2AFC-8CA9-9BC7-9383309116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9AA9A85"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67F66D73" wp14:editId="029E1E82">
            <wp:extent cx="6675120" cy="2971800"/>
            <wp:effectExtent l="0" t="0" r="0" b="0"/>
            <wp:docPr id="23" name="Chart 23">
              <a:extLst xmlns:a="http://schemas.openxmlformats.org/drawingml/2006/main">
                <a:ext uri="{FF2B5EF4-FFF2-40B4-BE49-F238E27FC236}">
                  <a16:creationId xmlns:a16="http://schemas.microsoft.com/office/drawing/2014/main" id="{9E7E3E55-EA3F-BD40-5176-C57878097C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0F6CB17" w14:textId="23B07E24" w:rsidR="00DC3470" w:rsidRPr="00DC3470" w:rsidRDefault="00AD2124" w:rsidP="00DC3470">
      <w:pPr>
        <w:spacing w:after="160" w:line="259" w:lineRule="auto"/>
        <w:jc w:val="center"/>
        <w:rPr>
          <w:rFonts w:ascii="Arial" w:eastAsia="Calibri" w:hAnsi="Arial" w:cs="Times New Roman"/>
        </w:rPr>
      </w:pPr>
      <w:r w:rsidRPr="00AD2124">
        <w:rPr>
          <w:noProof/>
          <w:bdr w:val="single" w:sz="4" w:space="0" w:color="auto"/>
        </w:rPr>
        <w:lastRenderedPageBreak/>
        <w:drawing>
          <wp:inline distT="0" distB="0" distL="0" distR="0" wp14:anchorId="44E3EF7D" wp14:editId="0918A543">
            <wp:extent cx="6697980" cy="2743200"/>
            <wp:effectExtent l="0" t="0" r="7620" b="0"/>
            <wp:docPr id="40" name="Chart 40">
              <a:extLst xmlns:a="http://schemas.openxmlformats.org/drawingml/2006/main">
                <a:ext uri="{FF2B5EF4-FFF2-40B4-BE49-F238E27FC236}">
                  <a16:creationId xmlns:a16="http://schemas.microsoft.com/office/drawing/2014/main" id="{AB35D974-0821-421A-84AD-8645DD996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6DA04FB"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4FF2DC19" wp14:editId="033405CF">
            <wp:extent cx="6697980" cy="3017520"/>
            <wp:effectExtent l="0" t="0" r="7620" b="0"/>
            <wp:docPr id="25" name="Chart 25">
              <a:extLst xmlns:a="http://schemas.openxmlformats.org/drawingml/2006/main">
                <a:ext uri="{FF2B5EF4-FFF2-40B4-BE49-F238E27FC236}">
                  <a16:creationId xmlns:a16="http://schemas.microsoft.com/office/drawing/2014/main" id="{DB782815-32D4-9A8D-EB34-C4706762F3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4FDB991" w14:textId="77777777" w:rsidR="00DC3470" w:rsidRPr="00DC3470" w:rsidRDefault="00DC3470" w:rsidP="00DC3470">
      <w:pPr>
        <w:spacing w:after="160" w:line="259" w:lineRule="auto"/>
        <w:jc w:val="center"/>
        <w:rPr>
          <w:rFonts w:ascii="Arial" w:eastAsia="Calibri" w:hAnsi="Arial" w:cs="Times New Roman"/>
        </w:rPr>
      </w:pPr>
    </w:p>
    <w:p w14:paraId="44C4EC35"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1BD3EF91" wp14:editId="2C9A4473">
            <wp:extent cx="6682740" cy="3162300"/>
            <wp:effectExtent l="0" t="0" r="3810" b="0"/>
            <wp:docPr id="26" name="Chart 26">
              <a:extLst xmlns:a="http://schemas.openxmlformats.org/drawingml/2006/main">
                <a:ext uri="{FF2B5EF4-FFF2-40B4-BE49-F238E27FC236}">
                  <a16:creationId xmlns:a16="http://schemas.microsoft.com/office/drawing/2014/main" id="{837645B1-D5CF-605E-97C7-937C94F9D0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51A682E5"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3540C127" wp14:editId="103EB2B0">
            <wp:extent cx="6705600" cy="2956560"/>
            <wp:effectExtent l="0" t="0" r="0" b="0"/>
            <wp:docPr id="27" name="Chart 27">
              <a:extLst xmlns:a="http://schemas.openxmlformats.org/drawingml/2006/main">
                <a:ext uri="{FF2B5EF4-FFF2-40B4-BE49-F238E27FC236}">
                  <a16:creationId xmlns:a16="http://schemas.microsoft.com/office/drawing/2014/main" id="{1217BBD5-860F-12A9-0296-E5BDEDCDA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6D22CD8"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5059C248" wp14:editId="1E7F34C7">
            <wp:extent cx="6675120" cy="3108960"/>
            <wp:effectExtent l="0" t="0" r="0" b="0"/>
            <wp:docPr id="10" name="Chart 10">
              <a:extLst xmlns:a="http://schemas.openxmlformats.org/drawingml/2006/main">
                <a:ext uri="{FF2B5EF4-FFF2-40B4-BE49-F238E27FC236}">
                  <a16:creationId xmlns:a16="http://schemas.microsoft.com/office/drawing/2014/main" id="{BE9E10FC-9264-3890-5ECD-9FA6E433AC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480F13CA"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111869FF" wp14:editId="70A71BD9">
            <wp:extent cx="6682740" cy="2918460"/>
            <wp:effectExtent l="0" t="0" r="3810" b="0"/>
            <wp:docPr id="11" name="Chart 11">
              <a:extLst xmlns:a="http://schemas.openxmlformats.org/drawingml/2006/main">
                <a:ext uri="{FF2B5EF4-FFF2-40B4-BE49-F238E27FC236}">
                  <a16:creationId xmlns:a16="http://schemas.microsoft.com/office/drawing/2014/main" id="{5A987759-75EB-DEBA-4321-FF1D301C01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41F46D5B"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55E44738" wp14:editId="318D250F">
            <wp:extent cx="6713220" cy="3032760"/>
            <wp:effectExtent l="0" t="0" r="0" b="0"/>
            <wp:docPr id="28" name="Chart 28">
              <a:extLst xmlns:a="http://schemas.openxmlformats.org/drawingml/2006/main">
                <a:ext uri="{FF2B5EF4-FFF2-40B4-BE49-F238E27FC236}">
                  <a16:creationId xmlns:a16="http://schemas.microsoft.com/office/drawing/2014/main" id="{64FC40D3-0DF6-A95C-50A2-A71B62D02B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9140124"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0ED371A4" wp14:editId="60BB551A">
            <wp:extent cx="6713220" cy="3048000"/>
            <wp:effectExtent l="0" t="0" r="0" b="0"/>
            <wp:docPr id="29" name="Chart 29">
              <a:extLst xmlns:a="http://schemas.openxmlformats.org/drawingml/2006/main">
                <a:ext uri="{FF2B5EF4-FFF2-40B4-BE49-F238E27FC236}">
                  <a16:creationId xmlns:a16="http://schemas.microsoft.com/office/drawing/2014/main" id="{278023CB-5C92-CC55-9656-16AE8ABE1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D2DF8C0"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0DBCACF3" wp14:editId="0C88DD90">
            <wp:extent cx="6667500" cy="3070860"/>
            <wp:effectExtent l="0" t="0" r="0" b="0"/>
            <wp:docPr id="30" name="Chart 30">
              <a:extLst xmlns:a="http://schemas.openxmlformats.org/drawingml/2006/main">
                <a:ext uri="{FF2B5EF4-FFF2-40B4-BE49-F238E27FC236}">
                  <a16:creationId xmlns:a16="http://schemas.microsoft.com/office/drawing/2014/main" id="{C15CDA6D-A167-31E6-D242-88963BCD2A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07AC90EE"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313732B7" wp14:editId="2DA1574B">
            <wp:extent cx="6659880" cy="3002280"/>
            <wp:effectExtent l="0" t="0" r="7620" b="7620"/>
            <wp:docPr id="31" name="Chart 31">
              <a:extLst xmlns:a="http://schemas.openxmlformats.org/drawingml/2006/main">
                <a:ext uri="{FF2B5EF4-FFF2-40B4-BE49-F238E27FC236}">
                  <a16:creationId xmlns:a16="http://schemas.microsoft.com/office/drawing/2014/main" id="{0EA15596-5B65-DE8D-9F37-3B54333E82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06B6BDDB"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219EB6A8" wp14:editId="713CA26F">
            <wp:extent cx="6675120" cy="3070860"/>
            <wp:effectExtent l="0" t="0" r="0" b="0"/>
            <wp:docPr id="32" name="Chart 32">
              <a:extLst xmlns:a="http://schemas.openxmlformats.org/drawingml/2006/main">
                <a:ext uri="{FF2B5EF4-FFF2-40B4-BE49-F238E27FC236}">
                  <a16:creationId xmlns:a16="http://schemas.microsoft.com/office/drawing/2014/main" id="{BBA9B0E6-C749-3863-9D6A-CCBBF96D5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B9E20ED"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drawing>
          <wp:inline distT="0" distB="0" distL="0" distR="0" wp14:anchorId="7819D97A" wp14:editId="7A26079B">
            <wp:extent cx="6659880" cy="3048000"/>
            <wp:effectExtent l="0" t="0" r="7620" b="0"/>
            <wp:docPr id="33" name="Chart 33">
              <a:extLst xmlns:a="http://schemas.openxmlformats.org/drawingml/2006/main">
                <a:ext uri="{FF2B5EF4-FFF2-40B4-BE49-F238E27FC236}">
                  <a16:creationId xmlns:a16="http://schemas.microsoft.com/office/drawing/2014/main" id="{CD8059F3-7EC0-5D9C-7232-766DD8A27E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40A1067" w14:textId="77777777" w:rsidR="00DC3470" w:rsidRPr="00DC3470" w:rsidRDefault="00DC3470" w:rsidP="00DC3470">
      <w:pPr>
        <w:spacing w:after="160" w:line="259" w:lineRule="auto"/>
        <w:jc w:val="center"/>
        <w:rPr>
          <w:rFonts w:ascii="Arial" w:eastAsia="Calibri" w:hAnsi="Arial" w:cs="Times New Roman"/>
        </w:rPr>
      </w:pPr>
      <w:r w:rsidRPr="00DC3470">
        <w:rPr>
          <w:rFonts w:ascii="Arial" w:eastAsia="Calibri" w:hAnsi="Arial" w:cs="Times New Roman"/>
          <w:noProof/>
          <w:bdr w:val="single" w:sz="4" w:space="0" w:color="auto"/>
        </w:rPr>
        <w:lastRenderedPageBreak/>
        <w:drawing>
          <wp:inline distT="0" distB="0" distL="0" distR="0" wp14:anchorId="5E9DDE3E" wp14:editId="6963CC88">
            <wp:extent cx="6667500" cy="3131820"/>
            <wp:effectExtent l="0" t="0" r="0" b="0"/>
            <wp:docPr id="34" name="Chart 34">
              <a:extLst xmlns:a="http://schemas.openxmlformats.org/drawingml/2006/main">
                <a:ext uri="{FF2B5EF4-FFF2-40B4-BE49-F238E27FC236}">
                  <a16:creationId xmlns:a16="http://schemas.microsoft.com/office/drawing/2014/main" id="{F44A77B5-722A-36D6-AE3E-E421AD5AD4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F8DBDFE" w14:textId="7B996A55" w:rsidR="00DC3470" w:rsidRPr="00472136" w:rsidRDefault="00DC3470" w:rsidP="00DC3470">
      <w:pPr>
        <w:spacing w:after="160" w:line="259" w:lineRule="auto"/>
        <w:jc w:val="center"/>
        <w:rPr>
          <w:rFonts w:ascii="Arial" w:hAnsi="Arial" w:cs="Arial"/>
        </w:rPr>
      </w:pPr>
      <w:r w:rsidRPr="00DC3470">
        <w:rPr>
          <w:rFonts w:ascii="Arial" w:eastAsia="Calibri" w:hAnsi="Arial" w:cs="Times New Roman"/>
          <w:noProof/>
          <w:bdr w:val="single" w:sz="4" w:space="0" w:color="auto"/>
        </w:rPr>
        <w:drawing>
          <wp:inline distT="0" distB="0" distL="0" distR="0" wp14:anchorId="34AA7FB5" wp14:editId="31F0BD42">
            <wp:extent cx="6659880" cy="3002280"/>
            <wp:effectExtent l="0" t="0" r="7620" b="7620"/>
            <wp:docPr id="35" name="Chart 35">
              <a:extLst xmlns:a="http://schemas.openxmlformats.org/drawingml/2006/main">
                <a:ext uri="{FF2B5EF4-FFF2-40B4-BE49-F238E27FC236}">
                  <a16:creationId xmlns:a16="http://schemas.microsoft.com/office/drawing/2014/main" id="{63890FAB-636E-FE40-DD4A-CB8E0A86B5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sectPr w:rsidR="00DC3470" w:rsidRPr="00472136" w:rsidSect="00D135B0">
      <w:type w:val="continuous"/>
      <w:pgSz w:w="16838" w:h="11906" w:orient="landscape"/>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C5085" w14:textId="77777777" w:rsidR="00C4223A" w:rsidRDefault="00C4223A" w:rsidP="009867FE">
      <w:pPr>
        <w:spacing w:after="0" w:line="240" w:lineRule="auto"/>
      </w:pPr>
      <w:r>
        <w:separator/>
      </w:r>
    </w:p>
  </w:endnote>
  <w:endnote w:type="continuationSeparator" w:id="0">
    <w:p w14:paraId="618BC17A" w14:textId="77777777" w:rsidR="00C4223A" w:rsidRDefault="00C4223A" w:rsidP="0098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9D447" w14:textId="77777777" w:rsidR="00C4223A" w:rsidRDefault="00C4223A" w:rsidP="009867FE">
      <w:pPr>
        <w:spacing w:after="0" w:line="240" w:lineRule="auto"/>
      </w:pPr>
      <w:r>
        <w:separator/>
      </w:r>
    </w:p>
  </w:footnote>
  <w:footnote w:type="continuationSeparator" w:id="0">
    <w:p w14:paraId="5E88F797" w14:textId="77777777" w:rsidR="00C4223A" w:rsidRDefault="00C4223A" w:rsidP="0098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BD850" w14:textId="502630F0" w:rsidR="00F27970" w:rsidRDefault="00F27970">
    <w:pPr>
      <w:pStyle w:val="Header"/>
    </w:pPr>
    <w:r>
      <w:rPr>
        <w:noProof/>
      </w:rPr>
      <w:drawing>
        <wp:anchor distT="0" distB="0" distL="0" distR="0" simplePos="0" relativeHeight="251659264" behindDoc="1" locked="0" layoutInCell="1" allowOverlap="1" wp14:anchorId="643056C1" wp14:editId="68359AF3">
          <wp:simplePos x="0" y="0"/>
          <wp:positionH relativeFrom="page">
            <wp:posOffset>7909560</wp:posOffset>
          </wp:positionH>
          <wp:positionV relativeFrom="page">
            <wp:posOffset>250825</wp:posOffset>
          </wp:positionV>
          <wp:extent cx="2383153" cy="513701"/>
          <wp:effectExtent l="0" t="0" r="0" b="0"/>
          <wp:wrapNone/>
          <wp:docPr id="6"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2383153" cy="51370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2D18"/>
    <w:multiLevelType w:val="hybridMultilevel"/>
    <w:tmpl w:val="6762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6EDF"/>
    <w:multiLevelType w:val="hybridMultilevel"/>
    <w:tmpl w:val="4830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E1071"/>
    <w:multiLevelType w:val="multilevel"/>
    <w:tmpl w:val="C56E9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849CD"/>
    <w:multiLevelType w:val="hybridMultilevel"/>
    <w:tmpl w:val="1DD0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F3DBF"/>
    <w:multiLevelType w:val="hybridMultilevel"/>
    <w:tmpl w:val="0D94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3672E"/>
    <w:multiLevelType w:val="hybridMultilevel"/>
    <w:tmpl w:val="58E0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45842"/>
    <w:multiLevelType w:val="hybridMultilevel"/>
    <w:tmpl w:val="E834C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6444A"/>
    <w:multiLevelType w:val="hybridMultilevel"/>
    <w:tmpl w:val="A92A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D95B5C"/>
    <w:multiLevelType w:val="hybridMultilevel"/>
    <w:tmpl w:val="21F63914"/>
    <w:lvl w:ilvl="0" w:tplc="ACB2BEC6">
      <w:start w:val="12"/>
      <w:numFmt w:val="bullet"/>
      <w:lvlText w:val=""/>
      <w:lvlJc w:val="left"/>
      <w:pPr>
        <w:ind w:left="720" w:hanging="360"/>
      </w:pPr>
      <w:rPr>
        <w:rFonts w:ascii="Symbol" w:eastAsiaTheme="minorHAnsi" w:hAnsi="Symbol" w:cs="Mul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42D80"/>
    <w:multiLevelType w:val="hybridMultilevel"/>
    <w:tmpl w:val="92043676"/>
    <w:lvl w:ilvl="0" w:tplc="ACB2BEC6">
      <w:start w:val="12"/>
      <w:numFmt w:val="bullet"/>
      <w:lvlText w:val=""/>
      <w:lvlJc w:val="left"/>
      <w:pPr>
        <w:ind w:left="720" w:hanging="360"/>
      </w:pPr>
      <w:rPr>
        <w:rFonts w:ascii="Symbol" w:eastAsiaTheme="minorHAnsi" w:hAnsi="Symbol" w:cs="Mul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24BD"/>
    <w:multiLevelType w:val="hybridMultilevel"/>
    <w:tmpl w:val="50DE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66970"/>
    <w:multiLevelType w:val="hybridMultilevel"/>
    <w:tmpl w:val="7606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30EF7"/>
    <w:multiLevelType w:val="hybridMultilevel"/>
    <w:tmpl w:val="33D607A2"/>
    <w:lvl w:ilvl="0" w:tplc="C450E98C">
      <w:start w:val="12"/>
      <w:numFmt w:val="bullet"/>
      <w:lvlText w:val=""/>
      <w:lvlJc w:val="left"/>
      <w:pPr>
        <w:ind w:left="720" w:hanging="360"/>
      </w:pPr>
      <w:rPr>
        <w:rFonts w:ascii="Symbol" w:eastAsiaTheme="minorHAnsi" w:hAnsi="Symbol" w:cs="Mul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62BB8"/>
    <w:multiLevelType w:val="hybridMultilevel"/>
    <w:tmpl w:val="DA24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A72C4"/>
    <w:multiLevelType w:val="hybridMultilevel"/>
    <w:tmpl w:val="4156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E5FA0"/>
    <w:multiLevelType w:val="hybridMultilevel"/>
    <w:tmpl w:val="533A4F36"/>
    <w:lvl w:ilvl="0" w:tplc="616E2E10">
      <w:numFmt w:val="bullet"/>
      <w:lvlText w:val="•"/>
      <w:lvlJc w:val="left"/>
      <w:pPr>
        <w:ind w:left="720" w:hanging="360"/>
      </w:pPr>
      <w:rPr>
        <w:rFonts w:ascii="Arial" w:eastAsiaTheme="minorHAnsi" w:hAnsi="Arial" w:cs="Aria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F2023"/>
    <w:multiLevelType w:val="hybridMultilevel"/>
    <w:tmpl w:val="FD229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5C5E8E"/>
    <w:multiLevelType w:val="hybridMultilevel"/>
    <w:tmpl w:val="5538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3A0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B74C09"/>
    <w:multiLevelType w:val="hybridMultilevel"/>
    <w:tmpl w:val="989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D3129"/>
    <w:multiLevelType w:val="hybridMultilevel"/>
    <w:tmpl w:val="A754B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75484"/>
    <w:multiLevelType w:val="hybridMultilevel"/>
    <w:tmpl w:val="089E0F7E"/>
    <w:lvl w:ilvl="0" w:tplc="EB3E37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0D72C4"/>
    <w:multiLevelType w:val="hybridMultilevel"/>
    <w:tmpl w:val="2342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B67ED"/>
    <w:multiLevelType w:val="hybridMultilevel"/>
    <w:tmpl w:val="62D2B220"/>
    <w:lvl w:ilvl="0" w:tplc="ACB2BEC6">
      <w:start w:val="12"/>
      <w:numFmt w:val="bullet"/>
      <w:lvlText w:val=""/>
      <w:lvlJc w:val="left"/>
      <w:pPr>
        <w:ind w:left="720" w:hanging="360"/>
      </w:pPr>
      <w:rPr>
        <w:rFonts w:ascii="Symbol" w:eastAsiaTheme="minorHAnsi" w:hAnsi="Symbol" w:cs="Mul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1327D"/>
    <w:multiLevelType w:val="hybridMultilevel"/>
    <w:tmpl w:val="5D560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771D1"/>
    <w:multiLevelType w:val="hybridMultilevel"/>
    <w:tmpl w:val="5DF28C30"/>
    <w:lvl w:ilvl="0" w:tplc="ACB2BEC6">
      <w:start w:val="12"/>
      <w:numFmt w:val="bullet"/>
      <w:lvlText w:val=""/>
      <w:lvlJc w:val="left"/>
      <w:pPr>
        <w:ind w:left="720" w:hanging="360"/>
      </w:pPr>
      <w:rPr>
        <w:rFonts w:ascii="Symbol" w:eastAsiaTheme="minorHAnsi" w:hAnsi="Symbol" w:cs="Mul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A56001"/>
    <w:multiLevelType w:val="hybridMultilevel"/>
    <w:tmpl w:val="AD447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04D73"/>
    <w:multiLevelType w:val="hybridMultilevel"/>
    <w:tmpl w:val="E390B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E06CB2"/>
    <w:multiLevelType w:val="hybridMultilevel"/>
    <w:tmpl w:val="664AA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7430">
    <w:abstractNumId w:val="12"/>
  </w:num>
  <w:num w:numId="2" w16cid:durableId="2137335670">
    <w:abstractNumId w:val="25"/>
  </w:num>
  <w:num w:numId="3" w16cid:durableId="1147629053">
    <w:abstractNumId w:val="9"/>
  </w:num>
  <w:num w:numId="4" w16cid:durableId="1641184998">
    <w:abstractNumId w:val="8"/>
  </w:num>
  <w:num w:numId="5" w16cid:durableId="1912734407">
    <w:abstractNumId w:val="23"/>
  </w:num>
  <w:num w:numId="6" w16cid:durableId="1205756114">
    <w:abstractNumId w:val="2"/>
  </w:num>
  <w:num w:numId="7" w16cid:durableId="1361204993">
    <w:abstractNumId w:val="18"/>
  </w:num>
  <w:num w:numId="8" w16cid:durableId="802845299">
    <w:abstractNumId w:val="16"/>
  </w:num>
  <w:num w:numId="9" w16cid:durableId="2107918156">
    <w:abstractNumId w:val="28"/>
  </w:num>
  <w:num w:numId="10" w16cid:durableId="37750896">
    <w:abstractNumId w:val="3"/>
  </w:num>
  <w:num w:numId="11" w16cid:durableId="1553226868">
    <w:abstractNumId w:val="10"/>
  </w:num>
  <w:num w:numId="12" w16cid:durableId="1770664477">
    <w:abstractNumId w:val="21"/>
  </w:num>
  <w:num w:numId="13" w16cid:durableId="852110092">
    <w:abstractNumId w:val="15"/>
  </w:num>
  <w:num w:numId="14" w16cid:durableId="609896309">
    <w:abstractNumId w:val="1"/>
  </w:num>
  <w:num w:numId="15" w16cid:durableId="645554621">
    <w:abstractNumId w:val="26"/>
  </w:num>
  <w:num w:numId="16" w16cid:durableId="791634206">
    <w:abstractNumId w:val="14"/>
  </w:num>
  <w:num w:numId="17" w16cid:durableId="2096240534">
    <w:abstractNumId w:val="22"/>
  </w:num>
  <w:num w:numId="18" w16cid:durableId="45644570">
    <w:abstractNumId w:val="24"/>
  </w:num>
  <w:num w:numId="19" w16cid:durableId="1087849285">
    <w:abstractNumId w:val="13"/>
  </w:num>
  <w:num w:numId="20" w16cid:durableId="1883395598">
    <w:abstractNumId w:val="5"/>
  </w:num>
  <w:num w:numId="21" w16cid:durableId="577522551">
    <w:abstractNumId w:val="17"/>
  </w:num>
  <w:num w:numId="22" w16cid:durableId="850097574">
    <w:abstractNumId w:val="4"/>
  </w:num>
  <w:num w:numId="23" w16cid:durableId="703364358">
    <w:abstractNumId w:val="19"/>
  </w:num>
  <w:num w:numId="24" w16cid:durableId="662858334">
    <w:abstractNumId w:val="27"/>
  </w:num>
  <w:num w:numId="25" w16cid:durableId="1998730181">
    <w:abstractNumId w:val="6"/>
  </w:num>
  <w:num w:numId="26" w16cid:durableId="1186208264">
    <w:abstractNumId w:val="20"/>
  </w:num>
  <w:num w:numId="27" w16cid:durableId="1698265270">
    <w:abstractNumId w:val="7"/>
  </w:num>
  <w:num w:numId="28" w16cid:durableId="1054699344">
    <w:abstractNumId w:val="0"/>
  </w:num>
  <w:num w:numId="29" w16cid:durableId="6123704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gICUe/okQENwvK4dtmXZ20vocq0dpdC1VRRkwQd0v6D7X6ixYGdQgp/LRSX03hBm"/>
  </w:docVars>
  <w:rsids>
    <w:rsidRoot w:val="00C73E52"/>
    <w:rsid w:val="00017669"/>
    <w:rsid w:val="00076B2F"/>
    <w:rsid w:val="000D0722"/>
    <w:rsid w:val="001B42DB"/>
    <w:rsid w:val="002B6EEF"/>
    <w:rsid w:val="00397F8D"/>
    <w:rsid w:val="00472136"/>
    <w:rsid w:val="004967BE"/>
    <w:rsid w:val="00500496"/>
    <w:rsid w:val="00501BA1"/>
    <w:rsid w:val="00525EC6"/>
    <w:rsid w:val="00535CCB"/>
    <w:rsid w:val="006255AD"/>
    <w:rsid w:val="00782A96"/>
    <w:rsid w:val="007A1A7D"/>
    <w:rsid w:val="007D7FFC"/>
    <w:rsid w:val="007F7543"/>
    <w:rsid w:val="0081554B"/>
    <w:rsid w:val="008840E0"/>
    <w:rsid w:val="008A04F8"/>
    <w:rsid w:val="0091256F"/>
    <w:rsid w:val="00967211"/>
    <w:rsid w:val="009867FE"/>
    <w:rsid w:val="00995FDC"/>
    <w:rsid w:val="00A81634"/>
    <w:rsid w:val="00A830E7"/>
    <w:rsid w:val="00AD2124"/>
    <w:rsid w:val="00AE2240"/>
    <w:rsid w:val="00B11461"/>
    <w:rsid w:val="00B13EFE"/>
    <w:rsid w:val="00C4223A"/>
    <w:rsid w:val="00C73E52"/>
    <w:rsid w:val="00CF073B"/>
    <w:rsid w:val="00D135B0"/>
    <w:rsid w:val="00D17425"/>
    <w:rsid w:val="00D876DC"/>
    <w:rsid w:val="00DC3470"/>
    <w:rsid w:val="00EA45BC"/>
    <w:rsid w:val="00ED1005"/>
    <w:rsid w:val="00F011E7"/>
    <w:rsid w:val="00F27970"/>
    <w:rsid w:val="00F5249F"/>
    <w:rsid w:val="00FA34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15773"/>
  <w15:docId w15:val="{6E178EB7-E733-4E23-97A1-7EC76E4F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72136"/>
    <w:pPr>
      <w:widowControl w:val="0"/>
      <w:autoSpaceDE w:val="0"/>
      <w:autoSpaceDN w:val="0"/>
      <w:spacing w:before="1" w:after="0" w:line="240" w:lineRule="auto"/>
      <w:ind w:left="120"/>
      <w:outlineLvl w:val="0"/>
    </w:pPr>
    <w:rPr>
      <w:rFonts w:ascii="Arial" w:eastAsia="Arial" w:hAnsi="Arial" w:cs="Arial"/>
      <w:sz w:val="47"/>
      <w:szCs w:val="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441"/>
    <w:pPr>
      <w:ind w:left="720"/>
      <w:contextualSpacing/>
    </w:pPr>
  </w:style>
  <w:style w:type="paragraph" w:styleId="NormalWeb">
    <w:name w:val="Normal (Web)"/>
    <w:basedOn w:val="Normal"/>
    <w:uiPriority w:val="99"/>
    <w:unhideWhenUsed/>
    <w:rsid w:val="006255A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97F8D"/>
    <w:rPr>
      <w:sz w:val="16"/>
      <w:szCs w:val="16"/>
    </w:rPr>
  </w:style>
  <w:style w:type="paragraph" w:styleId="CommentText">
    <w:name w:val="annotation text"/>
    <w:basedOn w:val="Normal"/>
    <w:link w:val="CommentTextChar"/>
    <w:uiPriority w:val="99"/>
    <w:unhideWhenUsed/>
    <w:rsid w:val="00397F8D"/>
    <w:pPr>
      <w:spacing w:line="240" w:lineRule="auto"/>
    </w:pPr>
    <w:rPr>
      <w:sz w:val="20"/>
      <w:szCs w:val="20"/>
    </w:rPr>
  </w:style>
  <w:style w:type="character" w:customStyle="1" w:styleId="CommentTextChar">
    <w:name w:val="Comment Text Char"/>
    <w:basedOn w:val="DefaultParagraphFont"/>
    <w:link w:val="CommentText"/>
    <w:uiPriority w:val="99"/>
    <w:rsid w:val="00397F8D"/>
    <w:rPr>
      <w:sz w:val="20"/>
      <w:szCs w:val="20"/>
    </w:rPr>
  </w:style>
  <w:style w:type="paragraph" w:styleId="CommentSubject">
    <w:name w:val="annotation subject"/>
    <w:basedOn w:val="CommentText"/>
    <w:next w:val="CommentText"/>
    <w:link w:val="CommentSubjectChar"/>
    <w:uiPriority w:val="99"/>
    <w:semiHidden/>
    <w:unhideWhenUsed/>
    <w:rsid w:val="00397F8D"/>
    <w:rPr>
      <w:b/>
      <w:bCs/>
    </w:rPr>
  </w:style>
  <w:style w:type="character" w:customStyle="1" w:styleId="CommentSubjectChar">
    <w:name w:val="Comment Subject Char"/>
    <w:basedOn w:val="CommentTextChar"/>
    <w:link w:val="CommentSubject"/>
    <w:uiPriority w:val="99"/>
    <w:semiHidden/>
    <w:rsid w:val="00397F8D"/>
    <w:rPr>
      <w:b/>
      <w:bCs/>
      <w:sz w:val="20"/>
      <w:szCs w:val="20"/>
    </w:rPr>
  </w:style>
  <w:style w:type="paragraph" w:customStyle="1" w:styleId="Default">
    <w:name w:val="Default"/>
    <w:rsid w:val="0091256F"/>
    <w:pPr>
      <w:autoSpaceDE w:val="0"/>
      <w:autoSpaceDN w:val="0"/>
      <w:adjustRightInd w:val="0"/>
      <w:spacing w:after="0" w:line="240" w:lineRule="auto"/>
    </w:pPr>
    <w:rPr>
      <w:rFonts w:ascii="Arial Nova" w:hAnsi="Arial Nova" w:cs="Arial Nova"/>
      <w:color w:val="000000"/>
      <w:sz w:val="24"/>
      <w:szCs w:val="24"/>
    </w:rPr>
  </w:style>
  <w:style w:type="character" w:customStyle="1" w:styleId="Heading1Char">
    <w:name w:val="Heading 1 Char"/>
    <w:basedOn w:val="DefaultParagraphFont"/>
    <w:link w:val="Heading1"/>
    <w:uiPriority w:val="9"/>
    <w:rsid w:val="00472136"/>
    <w:rPr>
      <w:rFonts w:ascii="Arial" w:eastAsia="Arial" w:hAnsi="Arial" w:cs="Arial"/>
      <w:sz w:val="47"/>
      <w:szCs w:val="47"/>
    </w:rPr>
  </w:style>
  <w:style w:type="paragraph" w:styleId="Header">
    <w:name w:val="header"/>
    <w:basedOn w:val="Normal"/>
    <w:link w:val="HeaderChar"/>
    <w:uiPriority w:val="99"/>
    <w:unhideWhenUsed/>
    <w:rsid w:val="00986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7FE"/>
  </w:style>
  <w:style w:type="paragraph" w:styleId="Footer">
    <w:name w:val="footer"/>
    <w:basedOn w:val="Normal"/>
    <w:link w:val="FooterChar"/>
    <w:uiPriority w:val="99"/>
    <w:unhideWhenUsed/>
    <w:rsid w:val="00986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7FE"/>
  </w:style>
  <w:style w:type="table" w:styleId="TableGrid">
    <w:name w:val="Table Grid"/>
    <w:basedOn w:val="TableNormal"/>
    <w:uiPriority w:val="39"/>
    <w:rsid w:val="00CF073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634"/>
    <w:rPr>
      <w:color w:val="0000FF" w:themeColor="hyperlink"/>
      <w:u w:val="single"/>
    </w:rPr>
  </w:style>
  <w:style w:type="paragraph" w:styleId="NoSpacing">
    <w:name w:val="No Spacing"/>
    <w:uiPriority w:val="1"/>
    <w:qFormat/>
    <w:rsid w:val="00A81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408026">
      <w:bodyDiv w:val="1"/>
      <w:marLeft w:val="0"/>
      <w:marRight w:val="0"/>
      <w:marTop w:val="0"/>
      <w:marBottom w:val="0"/>
      <w:divBdr>
        <w:top w:val="none" w:sz="0" w:space="0" w:color="auto"/>
        <w:left w:val="none" w:sz="0" w:space="0" w:color="auto"/>
        <w:bottom w:val="none" w:sz="0" w:space="0" w:color="auto"/>
        <w:right w:val="none" w:sz="0" w:space="0" w:color="auto"/>
      </w:divBdr>
      <w:divsChild>
        <w:div w:id="1397319766">
          <w:marLeft w:val="0"/>
          <w:marRight w:val="0"/>
          <w:marTop w:val="0"/>
          <w:marBottom w:val="0"/>
          <w:divBdr>
            <w:top w:val="none" w:sz="0" w:space="0" w:color="auto"/>
            <w:left w:val="none" w:sz="0" w:space="0" w:color="auto"/>
            <w:bottom w:val="none" w:sz="0" w:space="0" w:color="auto"/>
            <w:right w:val="none" w:sz="0" w:space="0" w:color="auto"/>
          </w:divBdr>
          <w:divsChild>
            <w:div w:id="16379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mocracy.gravesham.gov.uk/mgMemberIndex.aspx" TargetMode="Externa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chart" Target="charts/chart22.xml"/><Relationship Id="rId21" Type="http://schemas.openxmlformats.org/officeDocument/2006/relationships/chart" Target="charts/chart4.xml"/><Relationship Id="rId34" Type="http://schemas.openxmlformats.org/officeDocument/2006/relationships/chart" Target="charts/chart17.xml"/><Relationship Id="rId42" Type="http://schemas.openxmlformats.org/officeDocument/2006/relationships/chart" Target="charts/chart25.xml"/><Relationship Id="rId47" Type="http://schemas.openxmlformats.org/officeDocument/2006/relationships/chart" Target="charts/chart30.xml"/><Relationship Id="rId50" Type="http://schemas.openxmlformats.org/officeDocument/2006/relationships/chart" Target="charts/chart33.xml"/><Relationship Id="rId7" Type="http://schemas.openxmlformats.org/officeDocument/2006/relationships/hyperlink" Target="https://www.gravesham.gov.uk/directory-record/157/equality-and-diversity" TargetMode="External"/><Relationship Id="rId2" Type="http://schemas.openxmlformats.org/officeDocument/2006/relationships/styles" Target="styles.xml"/><Relationship Id="rId16" Type="http://schemas.openxmlformats.org/officeDocument/2006/relationships/hyperlink" Target="https://www.gravesham.gov.uk/housing" TargetMode="External"/><Relationship Id="rId29" Type="http://schemas.openxmlformats.org/officeDocument/2006/relationships/chart" Target="charts/chart12.xml"/><Relationship Id="rId11" Type="http://schemas.openxmlformats.org/officeDocument/2006/relationships/hyperlink" Target="https://www.gravesham.gov.uk/support-advice/networking-promotion" TargetMode="External"/><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chart" Target="charts/chart20.xml"/><Relationship Id="rId40" Type="http://schemas.openxmlformats.org/officeDocument/2006/relationships/chart" Target="charts/chart23.xml"/><Relationship Id="rId45" Type="http://schemas.openxmlformats.org/officeDocument/2006/relationships/chart" Target="charts/chart28.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gravesham.gov.uk/private-sector-housing/landlords-info/2" TargetMode="External"/><Relationship Id="rId19" Type="http://schemas.openxmlformats.org/officeDocument/2006/relationships/chart" Target="charts/chart2.xml"/><Relationship Id="rId31" Type="http://schemas.openxmlformats.org/officeDocument/2006/relationships/chart" Target="charts/chart14.xml"/><Relationship Id="rId44" Type="http://schemas.openxmlformats.org/officeDocument/2006/relationships/chart" Target="charts/chart27.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emocracy.gravesham.gov.uk/mgManageElectionResults.aspx?TPID=29796515" TargetMode="External"/><Relationship Id="rId14" Type="http://schemas.openxmlformats.org/officeDocument/2006/relationships/hyperlink" Target="https://www.gravesham.gov.uk/keeping-gravesham-safe/community-safety-partnership" TargetMode="External"/><Relationship Id="rId22" Type="http://schemas.openxmlformats.org/officeDocument/2006/relationships/chart" Target="charts/chart5.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8.xml"/><Relationship Id="rId43" Type="http://schemas.openxmlformats.org/officeDocument/2006/relationships/chart" Target="charts/chart26.xml"/><Relationship Id="rId48" Type="http://schemas.openxmlformats.org/officeDocument/2006/relationships/chart" Target="charts/chart31.xml"/><Relationship Id="rId8" Type="http://schemas.openxmlformats.org/officeDocument/2006/relationships/header" Target="header1.xml"/><Relationship Id="rId51" Type="http://schemas.openxmlformats.org/officeDocument/2006/relationships/chart" Target="charts/chart34.xml"/><Relationship Id="rId3" Type="http://schemas.openxmlformats.org/officeDocument/2006/relationships/settings" Target="settings.xml"/><Relationship Id="rId12" Type="http://schemas.openxmlformats.org/officeDocument/2006/relationships/hyperlink" Target="https://www.gravesham.gov.uk/consultations" TargetMode="External"/><Relationship Id="rId17" Type="http://schemas.openxmlformats.org/officeDocument/2006/relationships/hyperlink" Target="https://www.ons.gov.uk/peoplepopulationandcommunity/populationandmigration/populationestimates/bulletins/annualmidyearpopulationestimates/mid2021" TargetMode="External"/><Relationship Id="rId25" Type="http://schemas.openxmlformats.org/officeDocument/2006/relationships/chart" Target="charts/chart8.xml"/><Relationship Id="rId33" Type="http://schemas.openxmlformats.org/officeDocument/2006/relationships/chart" Target="charts/chart16.xml"/><Relationship Id="rId38" Type="http://schemas.openxmlformats.org/officeDocument/2006/relationships/chart" Target="charts/chart21.xml"/><Relationship Id="rId46" Type="http://schemas.openxmlformats.org/officeDocument/2006/relationships/chart" Target="charts/chart29.xml"/><Relationship Id="rId20" Type="http://schemas.openxmlformats.org/officeDocument/2006/relationships/chart" Target="charts/chart3.xml"/><Relationship Id="rId41" Type="http://schemas.openxmlformats.org/officeDocument/2006/relationships/chart" Target="charts/chart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ravesham.gov.uk/sports-leisure" TargetMode="External"/><Relationship Id="rId23" Type="http://schemas.openxmlformats.org/officeDocument/2006/relationships/chart" Target="charts/chart6.xml"/><Relationship Id="rId28" Type="http://schemas.openxmlformats.org/officeDocument/2006/relationships/chart" Target="charts/chart11.xml"/><Relationship Id="rId36" Type="http://schemas.openxmlformats.org/officeDocument/2006/relationships/chart" Target="charts/chart19.xml"/><Relationship Id="rId49" Type="http://schemas.openxmlformats.org/officeDocument/2006/relationships/chart" Target="charts/chart3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9.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20.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21.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2.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23.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24.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25.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26.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27.xml"/><Relationship Id="rId2" Type="http://schemas.microsoft.com/office/2011/relationships/chartColorStyle" Target="colors27.xml"/><Relationship Id="rId1" Type="http://schemas.microsoft.com/office/2011/relationships/chartStyle" Target="style27.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8.xml.rels><?xml version="1.0" encoding="UTF-8" standalone="yes"?>
<Relationships xmlns="http://schemas.openxmlformats.org/package/2006/relationships"><Relationship Id="rId3" Type="http://schemas.openxmlformats.org/officeDocument/2006/relationships/themeOverride" Target="../theme/themeOverride28.xml"/><Relationship Id="rId2" Type="http://schemas.microsoft.com/office/2011/relationships/chartColorStyle" Target="colors28.xml"/><Relationship Id="rId1" Type="http://schemas.microsoft.com/office/2011/relationships/chartStyle" Target="style28.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29.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30.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31.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32.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33.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34.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gbc-nas1\data\CX%20Office\Strategic%20Policy\Policy\Community%20Profile\2023%20-%20DESTROY%20DECEMBER%202025\0.%20Draft\Tabl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gbc-nas1\data\CX%20Office\Strategic%20Policy\Policy\Community%20Profile\2023%20-%20DESTROY%20DECEMBER%202025\0.%20Draft\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Table</a:t>
            </a:r>
            <a:r>
              <a:rPr lang="en-US" sz="1000" baseline="0"/>
              <a:t> 1: </a:t>
            </a:r>
            <a:r>
              <a:rPr lang="en-US" sz="1000"/>
              <a:t>Population change - </a:t>
            </a:r>
            <a:r>
              <a:rPr lang="en-US" sz="1000" baseline="0"/>
              <a:t>2011 to 2021</a:t>
            </a:r>
            <a:endParaRPr lang="en-U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3CA3-43EB-AB61-0AA8A4C21F02}"/>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3CA3-43EB-AB61-0AA8A4C21F02}"/>
              </c:ext>
            </c:extLst>
          </c:dPt>
          <c:cat>
            <c:strRef>
              <c:f>'Population Change'!$A$4:$A$16</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'Population Change'!$D$4:$D$16</c:f>
              <c:numCache>
                <c:formatCode>0.0%</c:formatCode>
                <c:ptCount val="13"/>
                <c:pt idx="0">
                  <c:v>7.6741087898123977E-2</c:v>
                </c:pt>
                <c:pt idx="1">
                  <c:v>0.12539421479195631</c:v>
                </c:pt>
                <c:pt idx="2">
                  <c:v>4.1595818584802671E-2</c:v>
                </c:pt>
                <c:pt idx="3">
                  <c:v>0.19912699635392594</c:v>
                </c:pt>
                <c:pt idx="4">
                  <c:v>4.240915521965722E-2</c:v>
                </c:pt>
                <c:pt idx="5">
                  <c:v>1.6569570895349592E-2</c:v>
                </c:pt>
                <c:pt idx="6">
                  <c:v>5.0924105387337791E-2</c:v>
                </c:pt>
                <c:pt idx="7">
                  <c:v>0.1330321058636226</c:v>
                </c:pt>
                <c:pt idx="8">
                  <c:v>4.8923781257343792E-2</c:v>
                </c:pt>
                <c:pt idx="9">
                  <c:v>0.11661942798247875</c:v>
                </c:pt>
                <c:pt idx="10">
                  <c:v>4.7702442877796493E-2</c:v>
                </c:pt>
                <c:pt idx="11">
                  <c:v>9.4333843797856046E-2</c:v>
                </c:pt>
                <c:pt idx="12">
                  <c:v>2.2772905457674555E-3</c:v>
                </c:pt>
              </c:numCache>
            </c:numRef>
          </c:val>
          <c:extLst>
            <c:ext xmlns:c16="http://schemas.microsoft.com/office/drawing/2014/chart" uri="{C3380CC4-5D6E-409C-BE32-E72D297353CC}">
              <c16:uniqueId val="{00000004-3CA3-43EB-AB61-0AA8A4C21F02}"/>
            </c:ext>
          </c:extLst>
        </c:ser>
        <c:dLbls>
          <c:showLegendKey val="0"/>
          <c:showVal val="0"/>
          <c:showCatName val="0"/>
          <c:showSerName val="0"/>
          <c:showPercent val="0"/>
          <c:showBubbleSize val="0"/>
        </c:dLbls>
        <c:gapWidth val="219"/>
        <c:overlap val="-27"/>
        <c:axId val="1801167536"/>
        <c:axId val="1801165040"/>
      </c:barChart>
      <c:catAx>
        <c:axId val="180116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165040"/>
        <c:crosses val="autoZero"/>
        <c:auto val="1"/>
        <c:lblAlgn val="ctr"/>
        <c:lblOffset val="100"/>
        <c:noMultiLvlLbl val="0"/>
      </c:catAx>
      <c:valAx>
        <c:axId val="1801165040"/>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01167536"/>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a:t>
            </a:r>
            <a:r>
              <a:rPr lang="en-GB" sz="1000" baseline="0"/>
              <a:t> 10: Declared religious status - 2021</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lumMod val="40000"/>
                <a:lumOff val="60000"/>
              </a:schemeClr>
            </a:solidFill>
            <a:ln>
              <a:noFill/>
            </a:ln>
            <a:effectLst/>
          </c:spPr>
          <c:invertIfNegative val="0"/>
          <c:cat>
            <c:strRef>
              <c:f>Religion!$C$4:$J$4</c:f>
              <c:strCache>
                <c:ptCount val="8"/>
                <c:pt idx="0">
                  <c:v>No religion</c:v>
                </c:pt>
                <c:pt idx="1">
                  <c:v>Christian</c:v>
                </c:pt>
                <c:pt idx="2">
                  <c:v>Buddhist</c:v>
                </c:pt>
                <c:pt idx="3">
                  <c:v>Hindu</c:v>
                </c:pt>
                <c:pt idx="4">
                  <c:v>Jewish</c:v>
                </c:pt>
                <c:pt idx="5">
                  <c:v>Muslim</c:v>
                </c:pt>
                <c:pt idx="6">
                  <c:v>Sikh</c:v>
                </c:pt>
                <c:pt idx="7">
                  <c:v>Other </c:v>
                </c:pt>
              </c:strCache>
            </c:strRef>
          </c:cat>
          <c:val>
            <c:numRef>
              <c:f>Religion!$C$5:$J$5</c:f>
              <c:numCache>
                <c:formatCode>0.0%</c:formatCode>
                <c:ptCount val="8"/>
                <c:pt idx="0">
                  <c:v>0.3213594140263239</c:v>
                </c:pt>
                <c:pt idx="1">
                  <c:v>0.49172583466636732</c:v>
                </c:pt>
                <c:pt idx="2">
                  <c:v>3.2460546871345849E-3</c:v>
                </c:pt>
                <c:pt idx="3">
                  <c:v>1.3947745067774254E-2</c:v>
                </c:pt>
                <c:pt idx="4">
                  <c:v>7.1095145885368435E-4</c:v>
                </c:pt>
                <c:pt idx="5">
                  <c:v>3.1113480949307291E-2</c:v>
                </c:pt>
                <c:pt idx="6">
                  <c:v>8.0075585365625493E-2</c:v>
                </c:pt>
                <c:pt idx="7">
                  <c:v>6.2114706405111365E-3</c:v>
                </c:pt>
              </c:numCache>
            </c:numRef>
          </c:val>
          <c:extLst>
            <c:ext xmlns:c16="http://schemas.microsoft.com/office/drawing/2014/chart" uri="{C3380CC4-5D6E-409C-BE32-E72D297353CC}">
              <c16:uniqueId val="{00000000-1962-4F42-AE09-8D842D1F66B4}"/>
            </c:ext>
          </c:extLst>
        </c:ser>
        <c:dLbls>
          <c:showLegendKey val="0"/>
          <c:showVal val="0"/>
          <c:showCatName val="0"/>
          <c:showSerName val="0"/>
          <c:showPercent val="0"/>
          <c:showBubbleSize val="0"/>
        </c:dLbls>
        <c:gapWidth val="219"/>
        <c:overlap val="-27"/>
        <c:axId val="1601222320"/>
        <c:axId val="932710176"/>
      </c:barChart>
      <c:catAx>
        <c:axId val="1601222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710176"/>
        <c:crosses val="autoZero"/>
        <c:auto val="1"/>
        <c:lblAlgn val="ctr"/>
        <c:lblOffset val="100"/>
        <c:noMultiLvlLbl val="0"/>
      </c:catAx>
      <c:valAx>
        <c:axId val="932710176"/>
        <c:scaling>
          <c:orientation val="minMax"/>
          <c:max val="0.60000000000000009"/>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222320"/>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11: Disabled residents - 2021</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4065-4292-9469-1856635CE3B6}"/>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4065-4292-9469-1856635CE3B6}"/>
              </c:ext>
            </c:extLst>
          </c:dPt>
          <c:cat>
            <c:strRef>
              <c:f>Disability!$A$3:$A$15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Disability!$B$3:$B$15</c:f>
              <c:numCache>
                <c:formatCode>0.0%</c:formatCode>
                <c:ptCount val="13"/>
                <c:pt idx="0">
                  <c:v>0.17856007573272489</c:v>
                </c:pt>
                <c:pt idx="1">
                  <c:v>0.17066299050072695</c:v>
                </c:pt>
                <c:pt idx="2">
                  <c:v>0.19608590430093184</c:v>
                </c:pt>
                <c:pt idx="3">
                  <c:v>0.14024479028376144</c:v>
                </c:pt>
                <c:pt idx="4">
                  <c:v>0.21172579675285627</c:v>
                </c:pt>
                <c:pt idx="5">
                  <c:v>0.21829843838262358</c:v>
                </c:pt>
                <c:pt idx="6">
                  <c:v>0.16378858746492048</c:v>
                </c:pt>
                <c:pt idx="7">
                  <c:v>0.15943043087460604</c:v>
                </c:pt>
                <c:pt idx="8">
                  <c:v>0.15009044592329521</c:v>
                </c:pt>
                <c:pt idx="9">
                  <c:v>0.1953954785498131</c:v>
                </c:pt>
                <c:pt idx="10">
                  <c:v>0.22857732222751748</c:v>
                </c:pt>
                <c:pt idx="11">
                  <c:v>0.15297917564920083</c:v>
                </c:pt>
                <c:pt idx="12">
                  <c:v>0.15002037966889542</c:v>
                </c:pt>
              </c:numCache>
            </c:numRef>
          </c:val>
          <c:extLst>
            <c:ext xmlns:c16="http://schemas.microsoft.com/office/drawing/2014/chart" uri="{C3380CC4-5D6E-409C-BE32-E72D297353CC}">
              <c16:uniqueId val="{00000004-4065-4292-9469-1856635CE3B6}"/>
            </c:ext>
          </c:extLst>
        </c:ser>
        <c:dLbls>
          <c:showLegendKey val="0"/>
          <c:showVal val="0"/>
          <c:showCatName val="0"/>
          <c:showSerName val="0"/>
          <c:showPercent val="0"/>
          <c:showBubbleSize val="0"/>
        </c:dLbls>
        <c:gapWidth val="219"/>
        <c:overlap val="-27"/>
        <c:axId val="1503280720"/>
        <c:axId val="1503281552"/>
      </c:barChart>
      <c:catAx>
        <c:axId val="150328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81552"/>
        <c:crosses val="autoZero"/>
        <c:auto val="1"/>
        <c:lblAlgn val="ctr"/>
        <c:lblOffset val="100"/>
        <c:noMultiLvlLbl val="0"/>
      </c:catAx>
      <c:valAx>
        <c:axId val="1503281552"/>
        <c:scaling>
          <c:orientation val="minMax"/>
          <c:max val="0.25"/>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80720"/>
        <c:crosses val="autoZero"/>
        <c:crossBetween val="between"/>
        <c:majorUnit val="5.000000000000001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a:t>
            </a:r>
            <a:r>
              <a:rPr lang="en-GB" sz="1000" baseline="0"/>
              <a:t> 12: Reported crime / hd pop (1,000)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0855-428C-9820-442810C83951}"/>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0855-428C-9820-442810C83951}"/>
              </c:ext>
            </c:extLst>
          </c:dPt>
          <c:cat>
            <c:strRef>
              <c:f>Crime!$B$2:$B$14</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c:v>
                </c:pt>
              </c:strCache>
            </c:strRef>
          </c:cat>
          <c:val>
            <c:numRef>
              <c:f>Crime!$C$2:$C$14</c:f>
              <c:numCache>
                <c:formatCode>General</c:formatCode>
                <c:ptCount val="13"/>
                <c:pt idx="0">
                  <c:v>97</c:v>
                </c:pt>
                <c:pt idx="1">
                  <c:v>89</c:v>
                </c:pt>
                <c:pt idx="2">
                  <c:v>99.1</c:v>
                </c:pt>
                <c:pt idx="3">
                  <c:v>111.2</c:v>
                </c:pt>
                <c:pt idx="4">
                  <c:v>95.7</c:v>
                </c:pt>
                <c:pt idx="5">
                  <c:v>95.3</c:v>
                </c:pt>
                <c:pt idx="6">
                  <c:v>108.7</c:v>
                </c:pt>
                <c:pt idx="7">
                  <c:v>91.1</c:v>
                </c:pt>
                <c:pt idx="8">
                  <c:v>66.900000000000006</c:v>
                </c:pt>
                <c:pt idx="9">
                  <c:v>101.5</c:v>
                </c:pt>
                <c:pt idx="10">
                  <c:v>127.4</c:v>
                </c:pt>
                <c:pt idx="11">
                  <c:v>67.3</c:v>
                </c:pt>
                <c:pt idx="12">
                  <c:v>69.3</c:v>
                </c:pt>
              </c:numCache>
            </c:numRef>
          </c:val>
          <c:extLst>
            <c:ext xmlns:c16="http://schemas.microsoft.com/office/drawing/2014/chart" uri="{C3380CC4-5D6E-409C-BE32-E72D297353CC}">
              <c16:uniqueId val="{00000004-0855-428C-9820-442810C83951}"/>
            </c:ext>
          </c:extLst>
        </c:ser>
        <c:dLbls>
          <c:showLegendKey val="0"/>
          <c:showVal val="0"/>
          <c:showCatName val="0"/>
          <c:showSerName val="0"/>
          <c:showPercent val="0"/>
          <c:showBubbleSize val="0"/>
        </c:dLbls>
        <c:gapWidth val="219"/>
        <c:overlap val="-27"/>
        <c:axId val="1994534400"/>
        <c:axId val="1994549376"/>
      </c:barChart>
      <c:catAx>
        <c:axId val="199453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4549376"/>
        <c:crosses val="autoZero"/>
        <c:auto val="1"/>
        <c:lblAlgn val="ctr"/>
        <c:lblOffset val="100"/>
        <c:noMultiLvlLbl val="0"/>
      </c:catAx>
      <c:valAx>
        <c:axId val="1994549376"/>
        <c:scaling>
          <c:orientation val="minMax"/>
          <c:max val="1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4534400"/>
        <c:crosses val="autoZero"/>
        <c:crossBetween val="between"/>
        <c:majorUnit val="4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0" i="0" u="none" strike="noStrike" baseline="0"/>
              <a:t>Table 13: VAT and/or PAYE based enterprises growth - 2010-2023 </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BE00-4685-AE21-D9BDA2158C17}"/>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BE00-4685-AE21-D9BDA2158C17}"/>
              </c:ext>
            </c:extLst>
          </c:dPt>
          <c:cat>
            <c:strRef>
              <c:f>Enterprises!$A$3:$A$15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Enterprises!$B$3:$B$15</c:f>
              <c:numCache>
                <c:formatCode>0.0%</c:formatCode>
                <c:ptCount val="13"/>
                <c:pt idx="0">
                  <c:v>0.28899999999999998</c:v>
                </c:pt>
                <c:pt idx="1">
                  <c:v>0.26600000000000001</c:v>
                </c:pt>
                <c:pt idx="2">
                  <c:v>0.27100000000000002</c:v>
                </c:pt>
                <c:pt idx="3">
                  <c:v>0.60799999999999998</c:v>
                </c:pt>
                <c:pt idx="4">
                  <c:v>0.28799999999999998</c:v>
                </c:pt>
                <c:pt idx="5">
                  <c:v>0.21099999999999999</c:v>
                </c:pt>
                <c:pt idx="6">
                  <c:v>0.54400000000000004</c:v>
                </c:pt>
                <c:pt idx="7">
                  <c:v>0.29799999999999999</c:v>
                </c:pt>
                <c:pt idx="8">
                  <c:v>0.156</c:v>
                </c:pt>
                <c:pt idx="9">
                  <c:v>0.28399999999999997</c:v>
                </c:pt>
                <c:pt idx="10">
                  <c:v>0.42499999999999999</c:v>
                </c:pt>
                <c:pt idx="11">
                  <c:v>0.307</c:v>
                </c:pt>
                <c:pt idx="12">
                  <c:v>0.122</c:v>
                </c:pt>
              </c:numCache>
            </c:numRef>
          </c:val>
          <c:extLst>
            <c:ext xmlns:c16="http://schemas.microsoft.com/office/drawing/2014/chart" uri="{C3380CC4-5D6E-409C-BE32-E72D297353CC}">
              <c16:uniqueId val="{00000004-BE00-4685-AE21-D9BDA2158C17}"/>
            </c:ext>
          </c:extLst>
        </c:ser>
        <c:dLbls>
          <c:showLegendKey val="0"/>
          <c:showVal val="0"/>
          <c:showCatName val="0"/>
          <c:showSerName val="0"/>
          <c:showPercent val="0"/>
          <c:showBubbleSize val="0"/>
        </c:dLbls>
        <c:gapWidth val="219"/>
        <c:overlap val="-27"/>
        <c:axId val="1786155408"/>
        <c:axId val="1786156240"/>
      </c:barChart>
      <c:catAx>
        <c:axId val="178615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6156240"/>
        <c:crosses val="autoZero"/>
        <c:auto val="1"/>
        <c:lblAlgn val="ctr"/>
        <c:lblOffset val="100"/>
        <c:noMultiLvlLbl val="0"/>
      </c:catAx>
      <c:valAx>
        <c:axId val="1786156240"/>
        <c:scaling>
          <c:orientation val="minMax"/>
          <c:max val="0.8"/>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861554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14: Gravesham</a:t>
            </a:r>
            <a:r>
              <a:rPr lang="en-GB" sz="1000" baseline="0"/>
              <a:t> industrial profile - 2023</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6">
                <a:lumMod val="40000"/>
                <a:lumOff val="60000"/>
              </a:schemeClr>
            </a:solidFill>
            <a:ln>
              <a:noFill/>
            </a:ln>
            <a:effectLst/>
          </c:spPr>
          <c:invertIfNegative val="0"/>
          <c:cat>
            <c:strRef>
              <c:f>Sectors!$B$3:$B$19</c:f>
              <c:strCache>
                <c:ptCount val="17"/>
                <c:pt idx="0">
                  <c:v>Agriculture, forestry &amp; fishing</c:v>
                </c:pt>
                <c:pt idx="1">
                  <c:v>Production</c:v>
                </c:pt>
                <c:pt idx="2">
                  <c:v>Construction</c:v>
                </c:pt>
                <c:pt idx="3">
                  <c:v>Motor trades</c:v>
                </c:pt>
                <c:pt idx="4">
                  <c:v>Wholesale</c:v>
                </c:pt>
                <c:pt idx="5">
                  <c:v>Retail</c:v>
                </c:pt>
                <c:pt idx="6">
                  <c:v>Transport &amp; Storage (inc postal)</c:v>
                </c:pt>
                <c:pt idx="7">
                  <c:v>Accommodation &amp; food services</c:v>
                </c:pt>
                <c:pt idx="8">
                  <c:v>Information &amp; communication</c:v>
                </c:pt>
                <c:pt idx="9">
                  <c:v>Finance &amp; insurance</c:v>
                </c:pt>
                <c:pt idx="10">
                  <c:v>Property</c:v>
                </c:pt>
                <c:pt idx="11">
                  <c:v>Professional, scientific &amp; technical</c:v>
                </c:pt>
                <c:pt idx="12">
                  <c:v>Business admin. &amp; support services</c:v>
                </c:pt>
                <c:pt idx="13">
                  <c:v>Public administration &amp; defence</c:v>
                </c:pt>
                <c:pt idx="14">
                  <c:v>Education</c:v>
                </c:pt>
                <c:pt idx="15">
                  <c:v>Health</c:v>
                </c:pt>
                <c:pt idx="16">
                  <c:v>Arts, entertainment, recreation</c:v>
                </c:pt>
              </c:strCache>
            </c:strRef>
          </c:cat>
          <c:val>
            <c:numRef>
              <c:f>Sectors!$C$3:$C$19</c:f>
              <c:numCache>
                <c:formatCode>0.0%</c:formatCode>
                <c:ptCount val="17"/>
                <c:pt idx="0">
                  <c:v>0.01</c:v>
                </c:pt>
                <c:pt idx="1">
                  <c:v>5.2999999999999999E-2</c:v>
                </c:pt>
                <c:pt idx="2">
                  <c:v>0.23200000000000001</c:v>
                </c:pt>
                <c:pt idx="3">
                  <c:v>0.03</c:v>
                </c:pt>
                <c:pt idx="4">
                  <c:v>2.8000000000000001E-2</c:v>
                </c:pt>
                <c:pt idx="5">
                  <c:v>7.4999999999999997E-2</c:v>
                </c:pt>
                <c:pt idx="6">
                  <c:v>9.9000000000000005E-2</c:v>
                </c:pt>
                <c:pt idx="7">
                  <c:v>6.9000000000000006E-2</c:v>
                </c:pt>
                <c:pt idx="8">
                  <c:v>4.9000000000000002E-2</c:v>
                </c:pt>
                <c:pt idx="9">
                  <c:v>8.9999999999999993E-3</c:v>
                </c:pt>
                <c:pt idx="10">
                  <c:v>2.5000000000000001E-2</c:v>
                </c:pt>
                <c:pt idx="11">
                  <c:v>0.121</c:v>
                </c:pt>
                <c:pt idx="12">
                  <c:v>0.09</c:v>
                </c:pt>
                <c:pt idx="13">
                  <c:v>0</c:v>
                </c:pt>
                <c:pt idx="14">
                  <c:v>1.7999999999999999E-2</c:v>
                </c:pt>
                <c:pt idx="15">
                  <c:v>3.6999999999999998E-2</c:v>
                </c:pt>
                <c:pt idx="16">
                  <c:v>5.7000000000000002E-2</c:v>
                </c:pt>
              </c:numCache>
            </c:numRef>
          </c:val>
          <c:extLst>
            <c:ext xmlns:c16="http://schemas.microsoft.com/office/drawing/2014/chart" uri="{C3380CC4-5D6E-409C-BE32-E72D297353CC}">
              <c16:uniqueId val="{00000000-4E0F-484D-A853-39A2E86CB38F}"/>
            </c:ext>
          </c:extLst>
        </c:ser>
        <c:dLbls>
          <c:showLegendKey val="0"/>
          <c:showVal val="0"/>
          <c:showCatName val="0"/>
          <c:showSerName val="0"/>
          <c:showPercent val="0"/>
          <c:showBubbleSize val="0"/>
        </c:dLbls>
        <c:gapWidth val="182"/>
        <c:axId val="348449408"/>
        <c:axId val="348467296"/>
      </c:barChart>
      <c:catAx>
        <c:axId val="3484494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467296"/>
        <c:crosses val="autoZero"/>
        <c:auto val="1"/>
        <c:lblAlgn val="ctr"/>
        <c:lblOffset val="100"/>
        <c:noMultiLvlLbl val="0"/>
      </c:catAx>
      <c:valAx>
        <c:axId val="348467296"/>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8449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i="0"/>
              <a:t>Table 15: </a:t>
            </a:r>
            <a:r>
              <a:rPr lang="en-GB" sz="1000" b="0" i="0" u="none" strike="noStrike" baseline="0"/>
              <a:t>Business Survival Rates (%) - 2017-2022</a:t>
            </a:r>
            <a:r>
              <a:rPr lang="en-GB" sz="1000" i="0"/>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4188980301229163"/>
          <c:y val="0.12933750751035639"/>
          <c:w val="0.7307061112876585"/>
          <c:h val="0.77076241975777127"/>
        </c:manualLayout>
      </c:layout>
      <c:barChart>
        <c:barDir val="bar"/>
        <c:grouping val="stacked"/>
        <c:varyColors val="0"/>
        <c:ser>
          <c:idx val="0"/>
          <c:order val="0"/>
          <c:tx>
            <c:strRef>
              <c:f>Survival!$B$2</c:f>
              <c:strCache>
                <c:ptCount val="1"/>
                <c:pt idx="0">
                  <c:v>5 year</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Survival!$A$3:$A$15</c:f>
              <c:strCache>
                <c:ptCount val="13"/>
                <c:pt idx="0">
                  <c:v>Tunbridge Wells </c:v>
                </c:pt>
                <c:pt idx="1">
                  <c:v>Tonbridge and Malling</c:v>
                </c:pt>
                <c:pt idx="2">
                  <c:v>Thanet</c:v>
                </c:pt>
                <c:pt idx="3">
                  <c:v>Swale</c:v>
                </c:pt>
                <c:pt idx="4">
                  <c:v>Sevenoaks</c:v>
                </c:pt>
                <c:pt idx="5">
                  <c:v>Maidstone</c:v>
                </c:pt>
                <c:pt idx="6">
                  <c:v>Gravesham</c:v>
                </c:pt>
                <c:pt idx="7">
                  <c:v>Folkestone and Hythe</c:v>
                </c:pt>
                <c:pt idx="8">
                  <c:v>Dover</c:v>
                </c:pt>
                <c:pt idx="9">
                  <c:v>Dartford</c:v>
                </c:pt>
                <c:pt idx="10">
                  <c:v>Canterbury</c:v>
                </c:pt>
                <c:pt idx="11">
                  <c:v>Ashford</c:v>
                </c:pt>
                <c:pt idx="12">
                  <c:v>Kent</c:v>
                </c:pt>
              </c:strCache>
            </c:strRef>
          </c:cat>
          <c:val>
            <c:numRef>
              <c:f>Survival!$B$3:$B$15</c:f>
              <c:numCache>
                <c:formatCode>#,##0.0</c:formatCode>
                <c:ptCount val="13"/>
                <c:pt idx="0">
                  <c:v>51.079136690647488</c:v>
                </c:pt>
                <c:pt idx="1">
                  <c:v>45.588235294117645</c:v>
                </c:pt>
                <c:pt idx="2">
                  <c:v>44.144144144144143</c:v>
                </c:pt>
                <c:pt idx="3">
                  <c:v>42.982456140350877</c:v>
                </c:pt>
                <c:pt idx="4">
                  <c:v>46.808510638297875</c:v>
                </c:pt>
                <c:pt idx="5">
                  <c:v>46.315789473684212</c:v>
                </c:pt>
                <c:pt idx="6">
                  <c:v>39.837398373983739</c:v>
                </c:pt>
                <c:pt idx="7">
                  <c:v>44.827586206896555</c:v>
                </c:pt>
                <c:pt idx="8">
                  <c:v>41.77215189873418</c:v>
                </c:pt>
                <c:pt idx="9">
                  <c:v>43.30708661417323</c:v>
                </c:pt>
                <c:pt idx="10">
                  <c:v>49.180327868852459</c:v>
                </c:pt>
                <c:pt idx="11">
                  <c:v>44.60431654676259</c:v>
                </c:pt>
                <c:pt idx="12">
                  <c:v>45.291777188328915</c:v>
                </c:pt>
              </c:numCache>
            </c:numRef>
          </c:val>
          <c:extLst>
            <c:ext xmlns:c16="http://schemas.microsoft.com/office/drawing/2014/chart" uri="{C3380CC4-5D6E-409C-BE32-E72D297353CC}">
              <c16:uniqueId val="{00000000-8319-496E-B290-581565014A87}"/>
            </c:ext>
          </c:extLst>
        </c:ser>
        <c:ser>
          <c:idx val="1"/>
          <c:order val="1"/>
          <c:tx>
            <c:strRef>
              <c:f>Survival!$C$2</c:f>
              <c:strCache>
                <c:ptCount val="1"/>
                <c:pt idx="0">
                  <c:v>3-year</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Survival!$A$3:$A$15</c:f>
              <c:strCache>
                <c:ptCount val="13"/>
                <c:pt idx="0">
                  <c:v>Tunbridge Wells </c:v>
                </c:pt>
                <c:pt idx="1">
                  <c:v>Tonbridge and Malling</c:v>
                </c:pt>
                <c:pt idx="2">
                  <c:v>Thanet</c:v>
                </c:pt>
                <c:pt idx="3">
                  <c:v>Swale</c:v>
                </c:pt>
                <c:pt idx="4">
                  <c:v>Sevenoaks</c:v>
                </c:pt>
                <c:pt idx="5">
                  <c:v>Maidstone</c:v>
                </c:pt>
                <c:pt idx="6">
                  <c:v>Gravesham</c:v>
                </c:pt>
                <c:pt idx="7">
                  <c:v>Folkestone and Hythe</c:v>
                </c:pt>
                <c:pt idx="8">
                  <c:v>Dover</c:v>
                </c:pt>
                <c:pt idx="9">
                  <c:v>Dartford</c:v>
                </c:pt>
                <c:pt idx="10">
                  <c:v>Canterbury</c:v>
                </c:pt>
                <c:pt idx="11">
                  <c:v>Ashford</c:v>
                </c:pt>
                <c:pt idx="12">
                  <c:v>Kent</c:v>
                </c:pt>
              </c:strCache>
            </c:strRef>
          </c:cat>
          <c:val>
            <c:numRef>
              <c:f>Survival!$C$3:$C$15</c:f>
              <c:numCache>
                <c:formatCode>#,##0.0</c:formatCode>
                <c:ptCount val="13"/>
                <c:pt idx="0">
                  <c:v>66.906474820143885</c:v>
                </c:pt>
                <c:pt idx="1">
                  <c:v>62.5</c:v>
                </c:pt>
                <c:pt idx="2">
                  <c:v>60.360360360360367</c:v>
                </c:pt>
                <c:pt idx="3">
                  <c:v>58.771929824561411</c:v>
                </c:pt>
                <c:pt idx="4">
                  <c:v>65.248226950354621</c:v>
                </c:pt>
                <c:pt idx="5">
                  <c:v>61.05263157894737</c:v>
                </c:pt>
                <c:pt idx="6">
                  <c:v>57.72357723577236</c:v>
                </c:pt>
                <c:pt idx="7">
                  <c:v>58.620689655172406</c:v>
                </c:pt>
                <c:pt idx="8">
                  <c:v>58.22784810126582</c:v>
                </c:pt>
                <c:pt idx="9">
                  <c:v>61.417322834645674</c:v>
                </c:pt>
                <c:pt idx="10">
                  <c:v>64.754098360655746</c:v>
                </c:pt>
                <c:pt idx="11">
                  <c:v>60.431654676258994</c:v>
                </c:pt>
                <c:pt idx="12">
                  <c:v>61.604774535809014</c:v>
                </c:pt>
              </c:numCache>
            </c:numRef>
          </c:val>
          <c:extLst>
            <c:ext xmlns:c16="http://schemas.microsoft.com/office/drawing/2014/chart" uri="{C3380CC4-5D6E-409C-BE32-E72D297353CC}">
              <c16:uniqueId val="{00000001-8319-496E-B290-581565014A87}"/>
            </c:ext>
          </c:extLst>
        </c:ser>
        <c:ser>
          <c:idx val="2"/>
          <c:order val="2"/>
          <c:tx>
            <c:strRef>
              <c:f>Survival!$D$2</c:f>
              <c:strCache>
                <c:ptCount val="1"/>
                <c:pt idx="0">
                  <c:v>1-year</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Survival!$A$3:$A$15</c:f>
              <c:strCache>
                <c:ptCount val="13"/>
                <c:pt idx="0">
                  <c:v>Tunbridge Wells </c:v>
                </c:pt>
                <c:pt idx="1">
                  <c:v>Tonbridge and Malling</c:v>
                </c:pt>
                <c:pt idx="2">
                  <c:v>Thanet</c:v>
                </c:pt>
                <c:pt idx="3">
                  <c:v>Swale</c:v>
                </c:pt>
                <c:pt idx="4">
                  <c:v>Sevenoaks</c:v>
                </c:pt>
                <c:pt idx="5">
                  <c:v>Maidstone</c:v>
                </c:pt>
                <c:pt idx="6">
                  <c:v>Gravesham</c:v>
                </c:pt>
                <c:pt idx="7">
                  <c:v>Folkestone and Hythe</c:v>
                </c:pt>
                <c:pt idx="8">
                  <c:v>Dover</c:v>
                </c:pt>
                <c:pt idx="9">
                  <c:v>Dartford</c:v>
                </c:pt>
                <c:pt idx="10">
                  <c:v>Canterbury</c:v>
                </c:pt>
                <c:pt idx="11">
                  <c:v>Ashford</c:v>
                </c:pt>
                <c:pt idx="12">
                  <c:v>Kent</c:v>
                </c:pt>
              </c:strCache>
            </c:strRef>
          </c:cat>
          <c:val>
            <c:numRef>
              <c:f>Survival!$D$3:$D$15</c:f>
              <c:numCache>
                <c:formatCode>#,##0.0</c:formatCode>
                <c:ptCount val="13"/>
                <c:pt idx="0">
                  <c:v>94.964028776978409</c:v>
                </c:pt>
                <c:pt idx="1">
                  <c:v>94.85294117647058</c:v>
                </c:pt>
                <c:pt idx="2">
                  <c:v>94.594594594594597</c:v>
                </c:pt>
                <c:pt idx="3">
                  <c:v>92.982456140350877</c:v>
                </c:pt>
                <c:pt idx="4">
                  <c:v>95.035460992907801</c:v>
                </c:pt>
                <c:pt idx="5">
                  <c:v>93.684210526315795</c:v>
                </c:pt>
                <c:pt idx="6">
                  <c:v>92.682926829268297</c:v>
                </c:pt>
                <c:pt idx="7">
                  <c:v>93.103448275862064</c:v>
                </c:pt>
                <c:pt idx="8">
                  <c:v>93.670886075949369</c:v>
                </c:pt>
                <c:pt idx="9">
                  <c:v>92.125984251968504</c:v>
                </c:pt>
                <c:pt idx="10">
                  <c:v>94.262295081967224</c:v>
                </c:pt>
                <c:pt idx="11">
                  <c:v>94.24460431654677</c:v>
                </c:pt>
                <c:pt idx="12">
                  <c:v>93.899204244031836</c:v>
                </c:pt>
              </c:numCache>
            </c:numRef>
          </c:val>
          <c:extLst>
            <c:ext xmlns:c16="http://schemas.microsoft.com/office/drawing/2014/chart" uri="{C3380CC4-5D6E-409C-BE32-E72D297353CC}">
              <c16:uniqueId val="{00000002-8319-496E-B290-581565014A87}"/>
            </c:ext>
          </c:extLst>
        </c:ser>
        <c:dLbls>
          <c:dLblPos val="inEnd"/>
          <c:showLegendKey val="0"/>
          <c:showVal val="1"/>
          <c:showCatName val="0"/>
          <c:showSerName val="0"/>
          <c:showPercent val="0"/>
          <c:showBubbleSize val="0"/>
        </c:dLbls>
        <c:gapWidth val="150"/>
        <c:overlap val="100"/>
        <c:axId val="484040832"/>
        <c:axId val="484042912"/>
      </c:barChart>
      <c:catAx>
        <c:axId val="4840408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042912"/>
        <c:crosses val="autoZero"/>
        <c:auto val="1"/>
        <c:lblAlgn val="ctr"/>
        <c:lblOffset val="100"/>
        <c:noMultiLvlLbl val="0"/>
      </c:catAx>
      <c:valAx>
        <c:axId val="484042912"/>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484040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a:t>
            </a:r>
            <a:r>
              <a:rPr lang="en-GB" sz="1000" baseline="0"/>
              <a:t> 16: Enterprises by employment sizebands - 2023</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Size!$C$2</c:f>
              <c:strCache>
                <c:ptCount val="1"/>
                <c:pt idx="0">
                  <c:v>Micro (0-9)</c:v>
                </c:pt>
              </c:strCache>
            </c:strRef>
          </c:tx>
          <c:spPr>
            <a:solidFill>
              <a:schemeClr val="accent6">
                <a:lumMod val="40000"/>
                <a:lumOff val="60000"/>
              </a:schemeClr>
            </a:solidFill>
            <a:ln>
              <a:noFill/>
            </a:ln>
            <a:effectLst/>
          </c:spPr>
          <c:invertIfNegative val="0"/>
          <c:cat>
            <c:strRef>
              <c:f>Size!$B$3:$B$6</c:f>
              <c:strCache>
                <c:ptCount val="4"/>
                <c:pt idx="0">
                  <c:v>UK</c:v>
                </c:pt>
                <c:pt idx="1">
                  <c:v>South East</c:v>
                </c:pt>
                <c:pt idx="2">
                  <c:v>Kent</c:v>
                </c:pt>
                <c:pt idx="3">
                  <c:v>Gravesham</c:v>
                </c:pt>
              </c:strCache>
            </c:strRef>
          </c:cat>
          <c:val>
            <c:numRef>
              <c:f>Size!$C$3:$C$6</c:f>
              <c:numCache>
                <c:formatCode>0.0%</c:formatCode>
                <c:ptCount val="4"/>
                <c:pt idx="0">
                  <c:v>0.89073576277215671</c:v>
                </c:pt>
                <c:pt idx="1">
                  <c:v>0.89532901887165295</c:v>
                </c:pt>
                <c:pt idx="2">
                  <c:v>0.89716643313093569</c:v>
                </c:pt>
                <c:pt idx="3">
                  <c:v>0.9076354679802956</c:v>
                </c:pt>
              </c:numCache>
            </c:numRef>
          </c:val>
          <c:extLst>
            <c:ext xmlns:c16="http://schemas.microsoft.com/office/drawing/2014/chart" uri="{C3380CC4-5D6E-409C-BE32-E72D297353CC}">
              <c16:uniqueId val="{00000000-03A0-48AC-8BEE-F0EC7FD6A12A}"/>
            </c:ext>
          </c:extLst>
        </c:ser>
        <c:ser>
          <c:idx val="1"/>
          <c:order val="1"/>
          <c:tx>
            <c:strRef>
              <c:f>Size!$D$2</c:f>
              <c:strCache>
                <c:ptCount val="1"/>
                <c:pt idx="0">
                  <c:v>Small (10-49)</c:v>
                </c:pt>
              </c:strCache>
            </c:strRef>
          </c:tx>
          <c:spPr>
            <a:solidFill>
              <a:schemeClr val="accent5">
                <a:lumMod val="40000"/>
                <a:lumOff val="60000"/>
              </a:schemeClr>
            </a:solidFill>
            <a:ln>
              <a:noFill/>
            </a:ln>
            <a:effectLst/>
          </c:spPr>
          <c:invertIfNegative val="0"/>
          <c:cat>
            <c:strRef>
              <c:f>Size!$B$3:$B$6</c:f>
              <c:strCache>
                <c:ptCount val="4"/>
                <c:pt idx="0">
                  <c:v>UK</c:v>
                </c:pt>
                <c:pt idx="1">
                  <c:v>South East</c:v>
                </c:pt>
                <c:pt idx="2">
                  <c:v>Kent</c:v>
                </c:pt>
                <c:pt idx="3">
                  <c:v>Gravesham</c:v>
                </c:pt>
              </c:strCache>
            </c:strRef>
          </c:cat>
          <c:val>
            <c:numRef>
              <c:f>Size!$D$3:$D$6</c:f>
              <c:numCache>
                <c:formatCode>0.0%</c:formatCode>
                <c:ptCount val="4"/>
                <c:pt idx="0">
                  <c:v>8.9569206734559911E-2</c:v>
                </c:pt>
                <c:pt idx="1">
                  <c:v>8.5651121430688662E-2</c:v>
                </c:pt>
                <c:pt idx="2">
                  <c:v>8.5162696559240234E-2</c:v>
                </c:pt>
                <c:pt idx="3">
                  <c:v>7.6354679802955669E-2</c:v>
                </c:pt>
              </c:numCache>
            </c:numRef>
          </c:val>
          <c:extLst>
            <c:ext xmlns:c16="http://schemas.microsoft.com/office/drawing/2014/chart" uri="{C3380CC4-5D6E-409C-BE32-E72D297353CC}">
              <c16:uniqueId val="{00000001-03A0-48AC-8BEE-F0EC7FD6A12A}"/>
            </c:ext>
          </c:extLst>
        </c:ser>
        <c:ser>
          <c:idx val="2"/>
          <c:order val="2"/>
          <c:tx>
            <c:strRef>
              <c:f>Size!$E$2</c:f>
              <c:strCache>
                <c:ptCount val="1"/>
                <c:pt idx="0">
                  <c:v>Medium (50-249)</c:v>
                </c:pt>
              </c:strCache>
            </c:strRef>
          </c:tx>
          <c:spPr>
            <a:solidFill>
              <a:schemeClr val="accent2">
                <a:lumMod val="40000"/>
                <a:lumOff val="60000"/>
              </a:schemeClr>
            </a:solidFill>
            <a:ln>
              <a:noFill/>
            </a:ln>
            <a:effectLst/>
          </c:spPr>
          <c:invertIfNegative val="0"/>
          <c:cat>
            <c:strRef>
              <c:f>Size!$B$3:$B$6</c:f>
              <c:strCache>
                <c:ptCount val="4"/>
                <c:pt idx="0">
                  <c:v>UK</c:v>
                </c:pt>
                <c:pt idx="1">
                  <c:v>South East</c:v>
                </c:pt>
                <c:pt idx="2">
                  <c:v>Kent</c:v>
                </c:pt>
                <c:pt idx="3">
                  <c:v>Gravesham</c:v>
                </c:pt>
              </c:strCache>
            </c:strRef>
          </c:cat>
          <c:val>
            <c:numRef>
              <c:f>Size!$E$3:$E$6</c:f>
              <c:numCache>
                <c:formatCode>0.0%</c:formatCode>
                <c:ptCount val="4"/>
                <c:pt idx="0">
                  <c:v>1.5694047667071286E-2</c:v>
                </c:pt>
                <c:pt idx="1">
                  <c:v>1.5030629384448177E-2</c:v>
                </c:pt>
                <c:pt idx="2">
                  <c:v>1.4479215319943952E-2</c:v>
                </c:pt>
                <c:pt idx="3">
                  <c:v>1.3546798029556651E-2</c:v>
                </c:pt>
              </c:numCache>
            </c:numRef>
          </c:val>
          <c:extLst>
            <c:ext xmlns:c16="http://schemas.microsoft.com/office/drawing/2014/chart" uri="{C3380CC4-5D6E-409C-BE32-E72D297353CC}">
              <c16:uniqueId val="{00000002-03A0-48AC-8BEE-F0EC7FD6A12A}"/>
            </c:ext>
          </c:extLst>
        </c:ser>
        <c:ser>
          <c:idx val="3"/>
          <c:order val="3"/>
          <c:tx>
            <c:strRef>
              <c:f>Size!$F$2</c:f>
              <c:strCache>
                <c:ptCount val="1"/>
                <c:pt idx="0">
                  <c:v>Large (250+)</c:v>
                </c:pt>
              </c:strCache>
            </c:strRef>
          </c:tx>
          <c:spPr>
            <a:solidFill>
              <a:schemeClr val="bg1">
                <a:lumMod val="65000"/>
              </a:schemeClr>
            </a:solidFill>
            <a:ln>
              <a:noFill/>
            </a:ln>
            <a:effectLst/>
          </c:spPr>
          <c:invertIfNegative val="0"/>
          <c:cat>
            <c:strRef>
              <c:f>Size!$B$3:$B$6</c:f>
              <c:strCache>
                <c:ptCount val="4"/>
                <c:pt idx="0">
                  <c:v>UK</c:v>
                </c:pt>
                <c:pt idx="1">
                  <c:v>South East</c:v>
                </c:pt>
                <c:pt idx="2">
                  <c:v>Kent</c:v>
                </c:pt>
                <c:pt idx="3">
                  <c:v>Gravesham</c:v>
                </c:pt>
              </c:strCache>
            </c:strRef>
          </c:cat>
          <c:val>
            <c:numRef>
              <c:f>Size!$F$3:$F$6</c:f>
              <c:numCache>
                <c:formatCode>0.0%</c:formatCode>
                <c:ptCount val="4"/>
                <c:pt idx="0">
                  <c:v>4.0009828262121214E-3</c:v>
                </c:pt>
                <c:pt idx="1">
                  <c:v>3.9892303132101573E-3</c:v>
                </c:pt>
                <c:pt idx="2">
                  <c:v>3.1916549898801183E-3</c:v>
                </c:pt>
                <c:pt idx="3">
                  <c:v>2.4630541871921183E-3</c:v>
                </c:pt>
              </c:numCache>
            </c:numRef>
          </c:val>
          <c:extLst>
            <c:ext xmlns:c16="http://schemas.microsoft.com/office/drawing/2014/chart" uri="{C3380CC4-5D6E-409C-BE32-E72D297353CC}">
              <c16:uniqueId val="{00000003-03A0-48AC-8BEE-F0EC7FD6A12A}"/>
            </c:ext>
          </c:extLst>
        </c:ser>
        <c:dLbls>
          <c:showLegendKey val="0"/>
          <c:showVal val="0"/>
          <c:showCatName val="0"/>
          <c:showSerName val="0"/>
          <c:showPercent val="0"/>
          <c:showBubbleSize val="0"/>
        </c:dLbls>
        <c:gapWidth val="150"/>
        <c:overlap val="100"/>
        <c:axId val="550947904"/>
        <c:axId val="550944992"/>
      </c:barChart>
      <c:catAx>
        <c:axId val="550947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944992"/>
        <c:crosses val="autoZero"/>
        <c:auto val="1"/>
        <c:lblAlgn val="ctr"/>
        <c:lblOffset val="100"/>
        <c:noMultiLvlLbl val="0"/>
      </c:catAx>
      <c:valAx>
        <c:axId val="550944992"/>
        <c:scaling>
          <c:orientation val="minMax"/>
          <c:max val="1"/>
          <c:min val="0.70000000000000007"/>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947904"/>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17: GVA per hour worked - 2021</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0D6A-44CC-9B24-06A730DB8F4E}"/>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0D6A-44CC-9B24-06A730DB8F4E}"/>
              </c:ext>
            </c:extLst>
          </c:dPt>
          <c:cat>
            <c:strRef>
              <c:f>GVA!$B$3:$B$15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GVA!$C$3:$C$15</c:f>
              <c:numCache>
                <c:formatCode>0.0</c:formatCode>
                <c:ptCount val="13"/>
                <c:pt idx="0">
                  <c:v>36.571666666666673</c:v>
                </c:pt>
                <c:pt idx="1">
                  <c:v>30.04</c:v>
                </c:pt>
                <c:pt idx="2">
                  <c:v>30.34</c:v>
                </c:pt>
                <c:pt idx="3">
                  <c:v>37.35</c:v>
                </c:pt>
                <c:pt idx="4">
                  <c:v>38.22</c:v>
                </c:pt>
                <c:pt idx="5">
                  <c:v>34.92</c:v>
                </c:pt>
                <c:pt idx="6">
                  <c:v>35.67</c:v>
                </c:pt>
                <c:pt idx="7">
                  <c:v>35.159999999999997</c:v>
                </c:pt>
                <c:pt idx="8">
                  <c:v>46.04</c:v>
                </c:pt>
                <c:pt idx="9">
                  <c:v>42.35</c:v>
                </c:pt>
                <c:pt idx="10">
                  <c:v>28.04</c:v>
                </c:pt>
                <c:pt idx="11">
                  <c:v>43.74</c:v>
                </c:pt>
                <c:pt idx="12">
                  <c:v>36.99</c:v>
                </c:pt>
              </c:numCache>
            </c:numRef>
          </c:val>
          <c:extLst>
            <c:ext xmlns:c16="http://schemas.microsoft.com/office/drawing/2014/chart" uri="{C3380CC4-5D6E-409C-BE32-E72D297353CC}">
              <c16:uniqueId val="{00000004-0D6A-44CC-9B24-06A730DB8F4E}"/>
            </c:ext>
          </c:extLst>
        </c:ser>
        <c:dLbls>
          <c:showLegendKey val="0"/>
          <c:showVal val="0"/>
          <c:showCatName val="0"/>
          <c:showSerName val="0"/>
          <c:showPercent val="0"/>
          <c:showBubbleSize val="0"/>
        </c:dLbls>
        <c:gapWidth val="219"/>
        <c:overlap val="-27"/>
        <c:axId val="1015944960"/>
        <c:axId val="550991728"/>
      </c:barChart>
      <c:catAx>
        <c:axId val="101594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991728"/>
        <c:crosses val="autoZero"/>
        <c:auto val="1"/>
        <c:lblAlgn val="ctr"/>
        <c:lblOffset val="100"/>
        <c:noMultiLvlLbl val="0"/>
      </c:catAx>
      <c:valAx>
        <c:axId val="550991728"/>
        <c:scaling>
          <c:orientation val="minMax"/>
          <c:max val="6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5944960"/>
        <c:crosses val="autoZero"/>
        <c:crossBetween val="between"/>
        <c:majorUnit val="2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0" i="0" baseline="0">
                <a:effectLst/>
              </a:rPr>
              <a:t>Table 18: Enterprises by turnover sizebands (£'000) - 2023</a:t>
            </a:r>
            <a:endParaRPr lang="en-GB"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Turnover!$C$3</c:f>
              <c:strCache>
                <c:ptCount val="1"/>
                <c:pt idx="0">
                  <c:v>0-99</c:v>
                </c:pt>
              </c:strCache>
            </c:strRef>
          </c:tx>
          <c:spPr>
            <a:solidFill>
              <a:schemeClr val="accent6">
                <a:lumMod val="40000"/>
                <a:lumOff val="60000"/>
              </a:schemeClr>
            </a:solidFill>
            <a:ln>
              <a:noFill/>
            </a:ln>
            <a:effectLst/>
          </c:spPr>
          <c:invertIfNegative val="0"/>
          <c:cat>
            <c:strRef>
              <c:f>Turnover!$B$4:$B$7</c:f>
              <c:strCache>
                <c:ptCount val="4"/>
                <c:pt idx="0">
                  <c:v>UK</c:v>
                </c:pt>
                <c:pt idx="1">
                  <c:v>South East</c:v>
                </c:pt>
                <c:pt idx="2">
                  <c:v>Kent</c:v>
                </c:pt>
                <c:pt idx="3">
                  <c:v>Gravesham</c:v>
                </c:pt>
              </c:strCache>
            </c:strRef>
          </c:cat>
          <c:val>
            <c:numRef>
              <c:f>Turnover!$C$4:$C$7</c:f>
              <c:numCache>
                <c:formatCode>0.0%</c:formatCode>
                <c:ptCount val="4"/>
                <c:pt idx="0">
                  <c:v>0.36989104564640995</c:v>
                </c:pt>
                <c:pt idx="1">
                  <c:v>0.36366218753087637</c:v>
                </c:pt>
                <c:pt idx="2">
                  <c:v>0.35863303752140746</c:v>
                </c:pt>
                <c:pt idx="3">
                  <c:v>0.37192118226600984</c:v>
                </c:pt>
              </c:numCache>
            </c:numRef>
          </c:val>
          <c:extLst>
            <c:ext xmlns:c16="http://schemas.microsoft.com/office/drawing/2014/chart" uri="{C3380CC4-5D6E-409C-BE32-E72D297353CC}">
              <c16:uniqueId val="{00000000-6FEC-408C-A2EE-C53894C1212B}"/>
            </c:ext>
          </c:extLst>
        </c:ser>
        <c:ser>
          <c:idx val="1"/>
          <c:order val="1"/>
          <c:tx>
            <c:strRef>
              <c:f>Turnover!$D$3</c:f>
              <c:strCache>
                <c:ptCount val="1"/>
                <c:pt idx="0">
                  <c:v>100-999</c:v>
                </c:pt>
              </c:strCache>
            </c:strRef>
          </c:tx>
          <c:spPr>
            <a:solidFill>
              <a:schemeClr val="accent5">
                <a:lumMod val="40000"/>
                <a:lumOff val="60000"/>
              </a:schemeClr>
            </a:solidFill>
            <a:ln>
              <a:noFill/>
            </a:ln>
            <a:effectLst/>
          </c:spPr>
          <c:invertIfNegative val="0"/>
          <c:cat>
            <c:strRef>
              <c:f>Turnover!$B$4:$B$7</c:f>
              <c:strCache>
                <c:ptCount val="4"/>
                <c:pt idx="0">
                  <c:v>UK</c:v>
                </c:pt>
                <c:pt idx="1">
                  <c:v>South East</c:v>
                </c:pt>
                <c:pt idx="2">
                  <c:v>Kent</c:v>
                </c:pt>
                <c:pt idx="3">
                  <c:v>Gravesham</c:v>
                </c:pt>
              </c:strCache>
            </c:strRef>
          </c:cat>
          <c:val>
            <c:numRef>
              <c:f>Turnover!$D$4:$D$7</c:f>
              <c:numCache>
                <c:formatCode>0.0%</c:formatCode>
                <c:ptCount val="4"/>
                <c:pt idx="0">
                  <c:v>0.52738344524594494</c:v>
                </c:pt>
                <c:pt idx="1">
                  <c:v>0.53464331587787772</c:v>
                </c:pt>
                <c:pt idx="2">
                  <c:v>0.53931184804608434</c:v>
                </c:pt>
                <c:pt idx="3">
                  <c:v>0.54064039408866993</c:v>
                </c:pt>
              </c:numCache>
            </c:numRef>
          </c:val>
          <c:extLst>
            <c:ext xmlns:c16="http://schemas.microsoft.com/office/drawing/2014/chart" uri="{C3380CC4-5D6E-409C-BE32-E72D297353CC}">
              <c16:uniqueId val="{00000001-6FEC-408C-A2EE-C53894C1212B}"/>
            </c:ext>
          </c:extLst>
        </c:ser>
        <c:ser>
          <c:idx val="2"/>
          <c:order val="2"/>
          <c:tx>
            <c:strRef>
              <c:f>Turnover!$E$3</c:f>
              <c:strCache>
                <c:ptCount val="1"/>
                <c:pt idx="0">
                  <c:v>1000-9999</c:v>
                </c:pt>
              </c:strCache>
            </c:strRef>
          </c:tx>
          <c:spPr>
            <a:solidFill>
              <a:schemeClr val="accent2">
                <a:lumMod val="40000"/>
                <a:lumOff val="60000"/>
              </a:schemeClr>
            </a:solidFill>
            <a:ln>
              <a:noFill/>
            </a:ln>
            <a:effectLst/>
          </c:spPr>
          <c:invertIfNegative val="0"/>
          <c:cat>
            <c:strRef>
              <c:f>Turnover!$B$4:$B$7</c:f>
              <c:strCache>
                <c:ptCount val="4"/>
                <c:pt idx="0">
                  <c:v>UK</c:v>
                </c:pt>
                <c:pt idx="1">
                  <c:v>South East</c:v>
                </c:pt>
                <c:pt idx="2">
                  <c:v>Kent</c:v>
                </c:pt>
                <c:pt idx="3">
                  <c:v>Gravesham</c:v>
                </c:pt>
              </c:strCache>
            </c:strRef>
          </c:cat>
          <c:val>
            <c:numRef>
              <c:f>Turnover!$E$4:$E$7</c:f>
              <c:numCache>
                <c:formatCode>0.0%</c:formatCode>
                <c:ptCount val="4"/>
                <c:pt idx="0">
                  <c:v>8.8656058500163198E-2</c:v>
                </c:pt>
                <c:pt idx="1">
                  <c:v>8.7985376939037643E-2</c:v>
                </c:pt>
                <c:pt idx="2">
                  <c:v>9.0066946909543824E-2</c:v>
                </c:pt>
                <c:pt idx="3">
                  <c:v>8.1280788177339899E-2</c:v>
                </c:pt>
              </c:numCache>
            </c:numRef>
          </c:val>
          <c:extLst>
            <c:ext xmlns:c16="http://schemas.microsoft.com/office/drawing/2014/chart" uri="{C3380CC4-5D6E-409C-BE32-E72D297353CC}">
              <c16:uniqueId val="{00000002-6FEC-408C-A2EE-C53894C1212B}"/>
            </c:ext>
          </c:extLst>
        </c:ser>
        <c:ser>
          <c:idx val="3"/>
          <c:order val="3"/>
          <c:tx>
            <c:strRef>
              <c:f>Turnover!$F$3</c:f>
              <c:strCache>
                <c:ptCount val="1"/>
                <c:pt idx="0">
                  <c:v>10000+</c:v>
                </c:pt>
              </c:strCache>
            </c:strRef>
          </c:tx>
          <c:spPr>
            <a:solidFill>
              <a:schemeClr val="bg1">
                <a:lumMod val="65000"/>
              </a:schemeClr>
            </a:solidFill>
            <a:ln>
              <a:noFill/>
            </a:ln>
            <a:effectLst/>
          </c:spPr>
          <c:invertIfNegative val="0"/>
          <c:cat>
            <c:strRef>
              <c:f>Turnover!$B$4:$B$7</c:f>
              <c:strCache>
                <c:ptCount val="4"/>
                <c:pt idx="0">
                  <c:v>UK</c:v>
                </c:pt>
                <c:pt idx="1">
                  <c:v>South East</c:v>
                </c:pt>
                <c:pt idx="2">
                  <c:v>Kent</c:v>
                </c:pt>
                <c:pt idx="3">
                  <c:v>Gravesham</c:v>
                </c:pt>
              </c:strCache>
            </c:strRef>
          </c:cat>
          <c:val>
            <c:numRef>
              <c:f>Turnover!$F$4:$F$7</c:f>
              <c:numCache>
                <c:formatCode>0.0%</c:formatCode>
                <c:ptCount val="4"/>
                <c:pt idx="0">
                  <c:v>1.4069450607481947E-2</c:v>
                </c:pt>
                <c:pt idx="1">
                  <c:v>1.3709119652208279E-2</c:v>
                </c:pt>
                <c:pt idx="2">
                  <c:v>1.1988167522964346E-2</c:v>
                </c:pt>
                <c:pt idx="3">
                  <c:v>6.1576354679802959E-3</c:v>
                </c:pt>
              </c:numCache>
            </c:numRef>
          </c:val>
          <c:extLst>
            <c:ext xmlns:c16="http://schemas.microsoft.com/office/drawing/2014/chart" uri="{C3380CC4-5D6E-409C-BE32-E72D297353CC}">
              <c16:uniqueId val="{00000003-6FEC-408C-A2EE-C53894C1212B}"/>
            </c:ext>
          </c:extLst>
        </c:ser>
        <c:dLbls>
          <c:showLegendKey val="0"/>
          <c:showVal val="0"/>
          <c:showCatName val="0"/>
          <c:showSerName val="0"/>
          <c:showPercent val="0"/>
          <c:showBubbleSize val="0"/>
        </c:dLbls>
        <c:gapWidth val="150"/>
        <c:overlap val="100"/>
        <c:axId val="539296048"/>
        <c:axId val="539293552"/>
      </c:barChart>
      <c:catAx>
        <c:axId val="539296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9293552"/>
        <c:crosses val="autoZero"/>
        <c:auto val="1"/>
        <c:lblAlgn val="ctr"/>
        <c:lblOffset val="100"/>
        <c:noMultiLvlLbl val="0"/>
      </c:catAx>
      <c:valAx>
        <c:axId val="53929355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929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19: Unemployment rate - October 2023</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6123-4F1C-8B92-D736791E8A06}"/>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6123-4F1C-8B92-D736791E8A06}"/>
              </c:ext>
            </c:extLst>
          </c:dPt>
          <c:cat>
            <c:strRef>
              <c:f>Unemployment!$B$3:$B$15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Unemployment!$C$3:$C$15</c:f>
              <c:numCache>
                <c:formatCode>0.00%</c:formatCode>
                <c:ptCount val="13"/>
                <c:pt idx="0">
                  <c:v>3.3000000000000002E-2</c:v>
                </c:pt>
                <c:pt idx="1">
                  <c:v>0.03</c:v>
                </c:pt>
                <c:pt idx="2">
                  <c:v>3.2000000000000001E-2</c:v>
                </c:pt>
                <c:pt idx="3">
                  <c:v>2.9000000000000001E-2</c:v>
                </c:pt>
                <c:pt idx="4">
                  <c:v>3.7999999999999999E-2</c:v>
                </c:pt>
                <c:pt idx="5">
                  <c:v>3.9E-2</c:v>
                </c:pt>
                <c:pt idx="6">
                  <c:v>4.2999999999999997E-2</c:v>
                </c:pt>
                <c:pt idx="7">
                  <c:v>0.03</c:v>
                </c:pt>
                <c:pt idx="8">
                  <c:v>0.02</c:v>
                </c:pt>
                <c:pt idx="9">
                  <c:v>3.5999999999999997E-2</c:v>
                </c:pt>
                <c:pt idx="10">
                  <c:v>5.2999999999999999E-2</c:v>
                </c:pt>
                <c:pt idx="11">
                  <c:v>2.1999999999999999E-2</c:v>
                </c:pt>
                <c:pt idx="12">
                  <c:v>2.4E-2</c:v>
                </c:pt>
              </c:numCache>
            </c:numRef>
          </c:val>
          <c:extLst>
            <c:ext xmlns:c16="http://schemas.microsoft.com/office/drawing/2014/chart" uri="{C3380CC4-5D6E-409C-BE32-E72D297353CC}">
              <c16:uniqueId val="{00000004-6123-4F1C-8B92-D736791E8A06}"/>
            </c:ext>
          </c:extLst>
        </c:ser>
        <c:dLbls>
          <c:showLegendKey val="0"/>
          <c:showVal val="0"/>
          <c:showCatName val="0"/>
          <c:showSerName val="0"/>
          <c:showPercent val="0"/>
          <c:showBubbleSize val="0"/>
        </c:dLbls>
        <c:gapWidth val="219"/>
        <c:overlap val="-27"/>
        <c:axId val="2038616960"/>
        <c:axId val="2038618208"/>
      </c:barChart>
      <c:catAx>
        <c:axId val="2038616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8618208"/>
        <c:crosses val="autoZero"/>
        <c:auto val="1"/>
        <c:lblAlgn val="ctr"/>
        <c:lblOffset val="100"/>
        <c:noMultiLvlLbl val="0"/>
      </c:catAx>
      <c:valAx>
        <c:axId val="203861820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8616960"/>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u="none" strike="noStrike" baseline="0">
                <a:effectLst/>
              </a:rPr>
              <a:t>Table 2: </a:t>
            </a:r>
            <a:r>
              <a:rPr lang="en-GB" sz="1000"/>
              <a:t>Population</a:t>
            </a:r>
            <a:r>
              <a:rPr lang="en-GB" sz="1000" baseline="0"/>
              <a:t> density (per hectare) - 2021</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CA2B-48D3-8B1D-3208F529170F}"/>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CA2B-48D3-8B1D-3208F529170F}"/>
              </c:ext>
            </c:extLst>
          </c:dPt>
          <c:cat>
            <c:strRef>
              <c:f>'Population Density'!$A$4:$A$16</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'Population Density'!$D$4:$D$16</c:f>
              <c:numCache>
                <c:formatCode>0.0_ ;[Red]\-0.0\ </c:formatCode>
                <c:ptCount val="13"/>
                <c:pt idx="0">
                  <c:v>4.4477416620911869</c:v>
                </c:pt>
                <c:pt idx="1">
                  <c:v>2.2863104006481385</c:v>
                </c:pt>
                <c:pt idx="2">
                  <c:v>5.0973298205385822</c:v>
                </c:pt>
                <c:pt idx="3">
                  <c:v>16.044442306767351</c:v>
                </c:pt>
                <c:pt idx="4">
                  <c:v>3.6973056135459674</c:v>
                </c:pt>
                <c:pt idx="5">
                  <c:v>3.0770127873853634</c:v>
                </c:pt>
                <c:pt idx="6">
                  <c:v>10.795940564762009</c:v>
                </c:pt>
                <c:pt idx="7">
                  <c:v>4.4690331408418409</c:v>
                </c:pt>
                <c:pt idx="8">
                  <c:v>3.2642052272137545</c:v>
                </c:pt>
                <c:pt idx="9">
                  <c:v>4.0621823825510095</c:v>
                </c:pt>
                <c:pt idx="10">
                  <c:v>13.604934615760538</c:v>
                </c:pt>
                <c:pt idx="11">
                  <c:v>5.5052645255430681</c:v>
                </c:pt>
                <c:pt idx="12">
                  <c:v>3.480265187207126</c:v>
                </c:pt>
              </c:numCache>
            </c:numRef>
          </c:val>
          <c:extLst>
            <c:ext xmlns:c16="http://schemas.microsoft.com/office/drawing/2014/chart" uri="{C3380CC4-5D6E-409C-BE32-E72D297353CC}">
              <c16:uniqueId val="{00000004-CA2B-48D3-8B1D-3208F529170F}"/>
            </c:ext>
          </c:extLst>
        </c:ser>
        <c:dLbls>
          <c:showLegendKey val="0"/>
          <c:showVal val="0"/>
          <c:showCatName val="0"/>
          <c:showSerName val="0"/>
          <c:showPercent val="0"/>
          <c:showBubbleSize val="0"/>
        </c:dLbls>
        <c:gapWidth val="219"/>
        <c:overlap val="-27"/>
        <c:axId val="1601933328"/>
        <c:axId val="1601932080"/>
      </c:barChart>
      <c:catAx>
        <c:axId val="1601933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932080"/>
        <c:crosses val="autoZero"/>
        <c:auto val="1"/>
        <c:lblAlgn val="ctr"/>
        <c:lblOffset val="100"/>
        <c:noMultiLvlLbl val="0"/>
      </c:catAx>
      <c:valAx>
        <c:axId val="1601932080"/>
        <c:scaling>
          <c:orientation val="minMax"/>
          <c:max val="20"/>
        </c:scaling>
        <c:delete val="0"/>
        <c:axPos val="l"/>
        <c:majorGridlines>
          <c:spPr>
            <a:ln w="9525" cap="flat" cmpd="sng" algn="ctr">
              <a:solidFill>
                <a:schemeClr val="tx1">
                  <a:lumMod val="15000"/>
                  <a:lumOff val="85000"/>
                </a:schemeClr>
              </a:solidFill>
              <a:round/>
            </a:ln>
            <a:effectLst/>
          </c:spPr>
        </c:majorGridlines>
        <c:numFmt formatCode="0.0_ ;[Red]\-0.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1933328"/>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20: Average</a:t>
            </a:r>
            <a:r>
              <a:rPr lang="en-GB" sz="1000" baseline="0"/>
              <a:t> weekly full-time earnings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Wages!$C$2</c:f>
              <c:strCache>
                <c:ptCount val="1"/>
                <c:pt idx="0">
                  <c:v>Resident</c:v>
                </c:pt>
              </c:strCache>
            </c:strRef>
          </c:tx>
          <c:spPr>
            <a:solidFill>
              <a:schemeClr val="accent6">
                <a:lumMod val="40000"/>
                <a:lumOff val="60000"/>
              </a:schemeClr>
            </a:solidFill>
            <a:ln>
              <a:noFill/>
            </a:ln>
            <a:effectLst/>
          </c:spPr>
          <c:invertIfNegative val="0"/>
          <c:cat>
            <c:strRef>
              <c:f>Wages!$B$3:$B$15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Wages!$C$3:$C$15</c:f>
              <c:numCache>
                <c:formatCode>General</c:formatCode>
                <c:ptCount val="13"/>
                <c:pt idx="0">
                  <c:v>669.3</c:v>
                </c:pt>
                <c:pt idx="1">
                  <c:v>668.4</c:v>
                </c:pt>
                <c:pt idx="2">
                  <c:v>658.8</c:v>
                </c:pt>
                <c:pt idx="3">
                  <c:v>732.1</c:v>
                </c:pt>
                <c:pt idx="4">
                  <c:v>670.3</c:v>
                </c:pt>
                <c:pt idx="5">
                  <c:v>684.3</c:v>
                </c:pt>
                <c:pt idx="6">
                  <c:v>660.9</c:v>
                </c:pt>
                <c:pt idx="7">
                  <c:v>615.1</c:v>
                </c:pt>
                <c:pt idx="8">
                  <c:v>731.9</c:v>
                </c:pt>
                <c:pt idx="9">
                  <c:v>663.3</c:v>
                </c:pt>
                <c:pt idx="10">
                  <c:v>591.79999999999995</c:v>
                </c:pt>
                <c:pt idx="11">
                  <c:v>703.6</c:v>
                </c:pt>
                <c:pt idx="12">
                  <c:v>676.7</c:v>
                </c:pt>
              </c:numCache>
            </c:numRef>
          </c:val>
          <c:extLst>
            <c:ext xmlns:c16="http://schemas.microsoft.com/office/drawing/2014/chart" uri="{C3380CC4-5D6E-409C-BE32-E72D297353CC}">
              <c16:uniqueId val="{00000000-CC94-4C6A-A103-8FA5DA4D13C9}"/>
            </c:ext>
          </c:extLst>
        </c:ser>
        <c:ser>
          <c:idx val="1"/>
          <c:order val="1"/>
          <c:tx>
            <c:strRef>
              <c:f>Wages!$D$2</c:f>
              <c:strCache>
                <c:ptCount val="1"/>
                <c:pt idx="0">
                  <c:v>Workplace</c:v>
                </c:pt>
              </c:strCache>
            </c:strRef>
          </c:tx>
          <c:spPr>
            <a:solidFill>
              <a:schemeClr val="accent5">
                <a:lumMod val="40000"/>
                <a:lumOff val="60000"/>
              </a:schemeClr>
            </a:solidFill>
            <a:ln>
              <a:noFill/>
            </a:ln>
            <a:effectLst/>
          </c:spPr>
          <c:invertIfNegative val="0"/>
          <c:cat>
            <c:strRef>
              <c:f>Wages!$B$3:$B$15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Wages!$D$3:$D$15</c:f>
              <c:numCache>
                <c:formatCode>General</c:formatCode>
                <c:ptCount val="13"/>
                <c:pt idx="0">
                  <c:v>603.70000000000005</c:v>
                </c:pt>
                <c:pt idx="1">
                  <c:v>590.9</c:v>
                </c:pt>
                <c:pt idx="2">
                  <c:v>624</c:v>
                </c:pt>
                <c:pt idx="3">
                  <c:v>719.1</c:v>
                </c:pt>
                <c:pt idx="4">
                  <c:v>614.1</c:v>
                </c:pt>
                <c:pt idx="5">
                  <c:v>645.20000000000005</c:v>
                </c:pt>
                <c:pt idx="6">
                  <c:v>651.6</c:v>
                </c:pt>
                <c:pt idx="7">
                  <c:v>582.4</c:v>
                </c:pt>
                <c:pt idx="8">
                  <c:v>604.4</c:v>
                </c:pt>
                <c:pt idx="9">
                  <c:v>537</c:v>
                </c:pt>
                <c:pt idx="10">
                  <c:v>539.9</c:v>
                </c:pt>
                <c:pt idx="11">
                  <c:v>608.79999999999995</c:v>
                </c:pt>
                <c:pt idx="12">
                  <c:v>623.20000000000005</c:v>
                </c:pt>
              </c:numCache>
            </c:numRef>
          </c:val>
          <c:extLst>
            <c:ext xmlns:c16="http://schemas.microsoft.com/office/drawing/2014/chart" uri="{C3380CC4-5D6E-409C-BE32-E72D297353CC}">
              <c16:uniqueId val="{00000001-CC94-4C6A-A103-8FA5DA4D13C9}"/>
            </c:ext>
          </c:extLst>
        </c:ser>
        <c:dLbls>
          <c:showLegendKey val="0"/>
          <c:showVal val="0"/>
          <c:showCatName val="0"/>
          <c:showSerName val="0"/>
          <c:showPercent val="0"/>
          <c:showBubbleSize val="0"/>
        </c:dLbls>
        <c:gapWidth val="219"/>
        <c:overlap val="-27"/>
        <c:axId val="472524016"/>
        <c:axId val="472524848"/>
      </c:barChart>
      <c:catAx>
        <c:axId val="47252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24848"/>
        <c:crosses val="autoZero"/>
        <c:auto val="1"/>
        <c:lblAlgn val="ctr"/>
        <c:lblOffset val="100"/>
        <c:noMultiLvlLbl val="0"/>
      </c:catAx>
      <c:valAx>
        <c:axId val="472524848"/>
        <c:scaling>
          <c:orientation val="minMax"/>
          <c:max val="800"/>
          <c:min val="50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2524016"/>
        <c:crosses val="autoZero"/>
        <c:crossBetween val="between"/>
        <c:majorUnit val="1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21: Pupil capacity</a:t>
            </a:r>
            <a:r>
              <a:rPr lang="en-GB" sz="1000" baseline="0"/>
              <a:t> rate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[2]Sheet1!$B$2</c:f>
              <c:strCache>
                <c:ptCount val="1"/>
                <c:pt idx="0">
                  <c:v>Primary </c:v>
                </c:pt>
              </c:strCache>
            </c:strRef>
          </c:tx>
          <c:spPr>
            <a:solidFill>
              <a:schemeClr val="accent6">
                <a:lumMod val="40000"/>
                <a:lumOff val="60000"/>
              </a:schemeClr>
            </a:solidFill>
            <a:ln>
              <a:noFill/>
            </a:ln>
            <a:effectLst/>
          </c:spPr>
          <c:invertIfNegative val="0"/>
          <c:cat>
            <c:strRef>
              <c:f>[2]Sheet1!$A$3:$A$15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[2]Sheet1!$B$3:$B$15</c:f>
              <c:numCache>
                <c:formatCode>General</c:formatCode>
                <c:ptCount val="13"/>
                <c:pt idx="0">
                  <c:v>0.92600000000000005</c:v>
                </c:pt>
                <c:pt idx="1">
                  <c:v>0.92100000000000004</c:v>
                </c:pt>
                <c:pt idx="2">
                  <c:v>0.96099999999999997</c:v>
                </c:pt>
                <c:pt idx="3">
                  <c:v>0.95399999999999996</c:v>
                </c:pt>
                <c:pt idx="4">
                  <c:v>0.91</c:v>
                </c:pt>
                <c:pt idx="5">
                  <c:v>0.94499999999999995</c:v>
                </c:pt>
                <c:pt idx="6">
                  <c:v>0.95199999999999996</c:v>
                </c:pt>
                <c:pt idx="7">
                  <c:v>0.96699999999999997</c:v>
                </c:pt>
                <c:pt idx="8">
                  <c:v>0.878</c:v>
                </c:pt>
                <c:pt idx="9">
                  <c:v>0.92300000000000004</c:v>
                </c:pt>
                <c:pt idx="10">
                  <c:v>0.83899999999999997</c:v>
                </c:pt>
                <c:pt idx="11">
                  <c:v>0.93500000000000005</c:v>
                </c:pt>
                <c:pt idx="12">
                  <c:v>0.92800000000000005</c:v>
                </c:pt>
              </c:numCache>
            </c:numRef>
          </c:val>
          <c:extLst>
            <c:ext xmlns:c16="http://schemas.microsoft.com/office/drawing/2014/chart" uri="{C3380CC4-5D6E-409C-BE32-E72D297353CC}">
              <c16:uniqueId val="{00000000-FFD6-472F-A3A9-6288DCA32979}"/>
            </c:ext>
          </c:extLst>
        </c:ser>
        <c:ser>
          <c:idx val="1"/>
          <c:order val="1"/>
          <c:tx>
            <c:strRef>
              <c:f>[2]Sheet1!$C$2</c:f>
              <c:strCache>
                <c:ptCount val="1"/>
                <c:pt idx="0">
                  <c:v>Secondary</c:v>
                </c:pt>
              </c:strCache>
            </c:strRef>
          </c:tx>
          <c:spPr>
            <a:solidFill>
              <a:schemeClr val="accent5">
                <a:lumMod val="40000"/>
                <a:lumOff val="60000"/>
              </a:schemeClr>
            </a:solidFill>
            <a:ln>
              <a:noFill/>
            </a:ln>
            <a:effectLst/>
          </c:spPr>
          <c:invertIfNegative val="0"/>
          <c:cat>
            <c:strRef>
              <c:f>[2]Sheet1!$A$3:$A$15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[2]Sheet1!$C$3:$C$15</c:f>
              <c:numCache>
                <c:formatCode>General</c:formatCode>
                <c:ptCount val="13"/>
                <c:pt idx="0">
                  <c:v>0.93799999999999994</c:v>
                </c:pt>
                <c:pt idx="1">
                  <c:v>0.996</c:v>
                </c:pt>
                <c:pt idx="2">
                  <c:v>0.996</c:v>
                </c:pt>
                <c:pt idx="3">
                  <c:v>0.86</c:v>
                </c:pt>
                <c:pt idx="4">
                  <c:v>0.90100000000000002</c:v>
                </c:pt>
                <c:pt idx="5">
                  <c:v>0.83899999999999997</c:v>
                </c:pt>
                <c:pt idx="6">
                  <c:v>1.0549999999999999</c:v>
                </c:pt>
                <c:pt idx="7">
                  <c:v>0.91600000000000004</c:v>
                </c:pt>
                <c:pt idx="8">
                  <c:v>0.97899999999999998</c:v>
                </c:pt>
                <c:pt idx="9">
                  <c:v>0.91500000000000004</c:v>
                </c:pt>
                <c:pt idx="10">
                  <c:v>0.98199999999999998</c:v>
                </c:pt>
                <c:pt idx="11">
                  <c:v>0.92700000000000005</c:v>
                </c:pt>
                <c:pt idx="12">
                  <c:v>0.93899999999999995</c:v>
                </c:pt>
              </c:numCache>
            </c:numRef>
          </c:val>
          <c:extLst>
            <c:ext xmlns:c16="http://schemas.microsoft.com/office/drawing/2014/chart" uri="{C3380CC4-5D6E-409C-BE32-E72D297353CC}">
              <c16:uniqueId val="{00000001-FFD6-472F-A3A9-6288DCA32979}"/>
            </c:ext>
          </c:extLst>
        </c:ser>
        <c:dLbls>
          <c:showLegendKey val="0"/>
          <c:showVal val="0"/>
          <c:showCatName val="0"/>
          <c:showSerName val="0"/>
          <c:showPercent val="0"/>
          <c:showBubbleSize val="0"/>
        </c:dLbls>
        <c:gapWidth val="219"/>
        <c:overlap val="-27"/>
        <c:axId val="1260010144"/>
        <c:axId val="1260007648"/>
      </c:barChart>
      <c:catAx>
        <c:axId val="126001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007648"/>
        <c:crosses val="autoZero"/>
        <c:auto val="1"/>
        <c:lblAlgn val="ctr"/>
        <c:lblOffset val="100"/>
        <c:noMultiLvlLbl val="0"/>
      </c:catAx>
      <c:valAx>
        <c:axId val="1260007648"/>
        <c:scaling>
          <c:orientation val="minMax"/>
          <c:max val="1.2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0010144"/>
        <c:crosses val="autoZero"/>
        <c:crossBetween val="between"/>
        <c:maj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22: SEN</a:t>
            </a:r>
            <a:r>
              <a:rPr lang="en-GB" sz="1000" baseline="0"/>
              <a:t> pupils in receipt of an </a:t>
            </a:r>
            <a:r>
              <a:rPr lang="en-GB" sz="1000"/>
              <a:t>EHCP</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'SEN Provision'!$D$2</c:f>
              <c:strCache>
                <c:ptCount val="1"/>
                <c:pt idx="0">
                  <c:v>EHCP Conversion Rate</c:v>
                </c:pt>
              </c:strCache>
            </c:strRef>
          </c:tx>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ADDE-4844-AE67-0E1CED7D966F}"/>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ADDE-4844-AE67-0E1CED7D966F}"/>
              </c:ext>
            </c:extLst>
          </c:dPt>
          <c:cat>
            <c:strRef>
              <c:f>'SEN Provision'!$A$3:$A$15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'SEN Provision'!$D$3:$D$15</c:f>
              <c:numCache>
                <c:formatCode>0.0%</c:formatCode>
                <c:ptCount val="13"/>
                <c:pt idx="0">
                  <c:v>0.29605263157894735</c:v>
                </c:pt>
                <c:pt idx="1">
                  <c:v>0.31249999999999994</c:v>
                </c:pt>
                <c:pt idx="2">
                  <c:v>0.33333333333333331</c:v>
                </c:pt>
                <c:pt idx="3">
                  <c:v>0.21538461538461537</c:v>
                </c:pt>
                <c:pt idx="4">
                  <c:v>0.2411764705882353</c:v>
                </c:pt>
                <c:pt idx="5">
                  <c:v>0.28742514970059885</c:v>
                </c:pt>
                <c:pt idx="6">
                  <c:v>0.22463768115942026</c:v>
                </c:pt>
                <c:pt idx="7">
                  <c:v>0.36496350364963503</c:v>
                </c:pt>
                <c:pt idx="8">
                  <c:v>0.33142857142857141</c:v>
                </c:pt>
                <c:pt idx="9">
                  <c:v>0.29189189189189191</c:v>
                </c:pt>
                <c:pt idx="10">
                  <c:v>0.32417582417582419</c:v>
                </c:pt>
                <c:pt idx="11">
                  <c:v>0.30069930069930062</c:v>
                </c:pt>
                <c:pt idx="12">
                  <c:v>0.3046875</c:v>
                </c:pt>
              </c:numCache>
            </c:numRef>
          </c:val>
          <c:extLst>
            <c:ext xmlns:c16="http://schemas.microsoft.com/office/drawing/2014/chart" uri="{C3380CC4-5D6E-409C-BE32-E72D297353CC}">
              <c16:uniqueId val="{00000004-ADDE-4844-AE67-0E1CED7D966F}"/>
            </c:ext>
          </c:extLst>
        </c:ser>
        <c:dLbls>
          <c:showLegendKey val="0"/>
          <c:showVal val="0"/>
          <c:showCatName val="0"/>
          <c:showSerName val="0"/>
          <c:showPercent val="0"/>
          <c:showBubbleSize val="0"/>
        </c:dLbls>
        <c:gapWidth val="219"/>
        <c:overlap val="-27"/>
        <c:axId val="341181296"/>
        <c:axId val="341174224"/>
      </c:barChart>
      <c:catAx>
        <c:axId val="34118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74224"/>
        <c:crosses val="autoZero"/>
        <c:auto val="1"/>
        <c:lblAlgn val="ctr"/>
        <c:lblOffset val="100"/>
        <c:noMultiLvlLbl val="0"/>
      </c:catAx>
      <c:valAx>
        <c:axId val="3411742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181296"/>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23: Schools rated as good or outstanding - 2022</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OFSTED!$B$2</c:f>
              <c:strCache>
                <c:ptCount val="1"/>
                <c:pt idx="0">
                  <c:v>Primary</c:v>
                </c:pt>
              </c:strCache>
            </c:strRef>
          </c:tx>
          <c:spPr>
            <a:solidFill>
              <a:schemeClr val="accent6">
                <a:lumMod val="40000"/>
                <a:lumOff val="60000"/>
              </a:schemeClr>
            </a:solidFill>
            <a:ln>
              <a:noFill/>
            </a:ln>
            <a:effectLst/>
          </c:spPr>
          <c:invertIfNegative val="0"/>
          <c:cat>
            <c:strRef>
              <c:f>OFSTED!$A$3:$A$15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OFSTED!$B$3:$B$15</c:f>
              <c:numCache>
                <c:formatCode>0.0%</c:formatCode>
                <c:ptCount val="13"/>
                <c:pt idx="0">
                  <c:v>0.92999999999999994</c:v>
                </c:pt>
                <c:pt idx="1">
                  <c:v>0.95199999999999996</c:v>
                </c:pt>
                <c:pt idx="2">
                  <c:v>0.94300000000000006</c:v>
                </c:pt>
                <c:pt idx="3">
                  <c:v>0.92599999999999993</c:v>
                </c:pt>
                <c:pt idx="4">
                  <c:v>0.95100000000000007</c:v>
                </c:pt>
                <c:pt idx="5">
                  <c:v>0.88600000000000012</c:v>
                </c:pt>
                <c:pt idx="6">
                  <c:v>0.96299999999999997</c:v>
                </c:pt>
                <c:pt idx="7">
                  <c:v>0.89599999999999991</c:v>
                </c:pt>
                <c:pt idx="8">
                  <c:v>0.88100000000000001</c:v>
                </c:pt>
                <c:pt idx="9">
                  <c:v>0.89599999999999991</c:v>
                </c:pt>
                <c:pt idx="10">
                  <c:v>1</c:v>
                </c:pt>
                <c:pt idx="11">
                  <c:v>0.91100000000000003</c:v>
                </c:pt>
                <c:pt idx="12">
                  <c:v>1</c:v>
                </c:pt>
              </c:numCache>
            </c:numRef>
          </c:val>
          <c:extLst>
            <c:ext xmlns:c16="http://schemas.microsoft.com/office/drawing/2014/chart" uri="{C3380CC4-5D6E-409C-BE32-E72D297353CC}">
              <c16:uniqueId val="{00000000-2000-4173-8EE5-D69E7D5BF177}"/>
            </c:ext>
          </c:extLst>
        </c:ser>
        <c:ser>
          <c:idx val="1"/>
          <c:order val="1"/>
          <c:tx>
            <c:strRef>
              <c:f>OFSTED!$C$2</c:f>
              <c:strCache>
                <c:ptCount val="1"/>
                <c:pt idx="0">
                  <c:v>Secondary</c:v>
                </c:pt>
              </c:strCache>
            </c:strRef>
          </c:tx>
          <c:spPr>
            <a:solidFill>
              <a:schemeClr val="accent5">
                <a:lumMod val="40000"/>
                <a:lumOff val="60000"/>
              </a:schemeClr>
            </a:solidFill>
            <a:ln>
              <a:noFill/>
            </a:ln>
            <a:effectLst/>
          </c:spPr>
          <c:invertIfNegative val="0"/>
          <c:cat>
            <c:strRef>
              <c:f>OFSTED!$A$3:$A$15</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 </c:v>
                </c:pt>
              </c:strCache>
            </c:strRef>
          </c:cat>
          <c:val>
            <c:numRef>
              <c:f>OFSTED!$C$3:$C$15</c:f>
              <c:numCache>
                <c:formatCode>0.0%</c:formatCode>
                <c:ptCount val="13"/>
                <c:pt idx="0">
                  <c:v>0.877</c:v>
                </c:pt>
                <c:pt idx="1">
                  <c:v>0.85699999999999998</c:v>
                </c:pt>
                <c:pt idx="2">
                  <c:v>0.88900000000000001</c:v>
                </c:pt>
                <c:pt idx="3">
                  <c:v>1</c:v>
                </c:pt>
                <c:pt idx="4">
                  <c:v>0.55500000000000005</c:v>
                </c:pt>
                <c:pt idx="5">
                  <c:v>1</c:v>
                </c:pt>
                <c:pt idx="6">
                  <c:v>1</c:v>
                </c:pt>
                <c:pt idx="7">
                  <c:v>1</c:v>
                </c:pt>
                <c:pt idx="8">
                  <c:v>1</c:v>
                </c:pt>
                <c:pt idx="9">
                  <c:v>0.875</c:v>
                </c:pt>
                <c:pt idx="10">
                  <c:v>0.75</c:v>
                </c:pt>
                <c:pt idx="11">
                  <c:v>0.81800000000000006</c:v>
                </c:pt>
                <c:pt idx="12">
                  <c:v>0.88900000000000001</c:v>
                </c:pt>
              </c:numCache>
            </c:numRef>
          </c:val>
          <c:extLst>
            <c:ext xmlns:c16="http://schemas.microsoft.com/office/drawing/2014/chart" uri="{C3380CC4-5D6E-409C-BE32-E72D297353CC}">
              <c16:uniqueId val="{00000001-2000-4173-8EE5-D69E7D5BF177}"/>
            </c:ext>
          </c:extLst>
        </c:ser>
        <c:dLbls>
          <c:showLegendKey val="0"/>
          <c:showVal val="0"/>
          <c:showCatName val="0"/>
          <c:showSerName val="0"/>
          <c:showPercent val="0"/>
          <c:showBubbleSize val="0"/>
        </c:dLbls>
        <c:gapWidth val="219"/>
        <c:overlap val="-27"/>
        <c:axId val="341210416"/>
        <c:axId val="341224144"/>
      </c:barChart>
      <c:catAx>
        <c:axId val="341210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224144"/>
        <c:crosses val="autoZero"/>
        <c:auto val="1"/>
        <c:lblAlgn val="ctr"/>
        <c:lblOffset val="100"/>
        <c:noMultiLvlLbl val="0"/>
      </c:catAx>
      <c:valAx>
        <c:axId val="341224144"/>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1210416"/>
        <c:crosses val="autoZero"/>
        <c:crossBetween val="between"/>
        <c:maj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24: Qualifications profile - 2021</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Qualifications!$B$2</c:f>
              <c:strCache>
                <c:ptCount val="1"/>
                <c:pt idx="0">
                  <c:v>None</c:v>
                </c:pt>
              </c:strCache>
            </c:strRef>
          </c:tx>
          <c:spPr>
            <a:solidFill>
              <a:schemeClr val="accent6">
                <a:lumMod val="40000"/>
                <a:lumOff val="60000"/>
              </a:schemeClr>
            </a:solidFill>
            <a:ln>
              <a:noFill/>
            </a:ln>
            <a:effectLst/>
          </c:spPr>
          <c:invertIfNegative val="0"/>
          <c:cat>
            <c:strRef>
              <c:f>Qualifications!$A$3:$A$15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Qualifications!$B$3:$B$15</c:f>
              <c:numCache>
                <c:formatCode>0.0%</c:formatCode>
                <c:ptCount val="13"/>
                <c:pt idx="0">
                  <c:v>0.17955515030166869</c:v>
                </c:pt>
                <c:pt idx="1">
                  <c:v>0.17635764194593784</c:v>
                </c:pt>
                <c:pt idx="2">
                  <c:v>0.16234230841649408</c:v>
                </c:pt>
                <c:pt idx="3">
                  <c:v>0.16226019845644984</c:v>
                </c:pt>
                <c:pt idx="4">
                  <c:v>0.19459065848330387</c:v>
                </c:pt>
                <c:pt idx="5">
                  <c:v>0.19393595176722442</c:v>
                </c:pt>
                <c:pt idx="6">
                  <c:v>0.20325472479125767</c:v>
                </c:pt>
                <c:pt idx="7">
                  <c:v>0.17438473553125924</c:v>
                </c:pt>
                <c:pt idx="8">
                  <c:v>0.1561752740598118</c:v>
                </c:pt>
                <c:pt idx="9">
                  <c:v>0.21986885245901638</c:v>
                </c:pt>
                <c:pt idx="10">
                  <c:v>0.21651923026937106</c:v>
                </c:pt>
                <c:pt idx="11">
                  <c:v>0.15469173473835832</c:v>
                </c:pt>
                <c:pt idx="12">
                  <c:v>0.13478354978354978</c:v>
                </c:pt>
              </c:numCache>
            </c:numRef>
          </c:val>
          <c:extLst>
            <c:ext xmlns:c16="http://schemas.microsoft.com/office/drawing/2014/chart" uri="{C3380CC4-5D6E-409C-BE32-E72D297353CC}">
              <c16:uniqueId val="{00000000-FE4A-4973-A7A6-DCF00DDC2591}"/>
            </c:ext>
          </c:extLst>
        </c:ser>
        <c:ser>
          <c:idx val="1"/>
          <c:order val="1"/>
          <c:tx>
            <c:strRef>
              <c:f>Qualifications!$C$2</c:f>
              <c:strCache>
                <c:ptCount val="1"/>
                <c:pt idx="0">
                  <c:v>Level 4+</c:v>
                </c:pt>
              </c:strCache>
            </c:strRef>
          </c:tx>
          <c:spPr>
            <a:solidFill>
              <a:schemeClr val="accent5">
                <a:lumMod val="40000"/>
                <a:lumOff val="60000"/>
              </a:schemeClr>
            </a:solidFill>
            <a:ln>
              <a:noFill/>
            </a:ln>
            <a:effectLst/>
          </c:spPr>
          <c:invertIfNegative val="0"/>
          <c:cat>
            <c:strRef>
              <c:f>Qualifications!$A$3:$A$15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Qualifications!$C$3:$C$15</c:f>
              <c:numCache>
                <c:formatCode>0.0%</c:formatCode>
                <c:ptCount val="13"/>
                <c:pt idx="0">
                  <c:v>0.30490315424349385</c:v>
                </c:pt>
                <c:pt idx="1">
                  <c:v>0.30110709401869507</c:v>
                </c:pt>
                <c:pt idx="2">
                  <c:v>0.33060440594991525</c:v>
                </c:pt>
                <c:pt idx="3">
                  <c:v>0.32372657111356118</c:v>
                </c:pt>
                <c:pt idx="4">
                  <c:v>0.26995734942265681</c:v>
                </c:pt>
                <c:pt idx="5">
                  <c:v>0.27379964174931187</c:v>
                </c:pt>
                <c:pt idx="6">
                  <c:v>0.26695366274806631</c:v>
                </c:pt>
                <c:pt idx="7">
                  <c:v>0.29923171092068046</c:v>
                </c:pt>
                <c:pt idx="8">
                  <c:v>0.37341490429903834</c:v>
                </c:pt>
                <c:pt idx="9">
                  <c:v>0.23697540983606558</c:v>
                </c:pt>
                <c:pt idx="10">
                  <c:v>0.26318479946628315</c:v>
                </c:pt>
                <c:pt idx="11">
                  <c:v>0.32534162196994104</c:v>
                </c:pt>
                <c:pt idx="12">
                  <c:v>0.41136363636363638</c:v>
                </c:pt>
              </c:numCache>
            </c:numRef>
          </c:val>
          <c:extLst>
            <c:ext xmlns:c16="http://schemas.microsoft.com/office/drawing/2014/chart" uri="{C3380CC4-5D6E-409C-BE32-E72D297353CC}">
              <c16:uniqueId val="{00000001-FE4A-4973-A7A6-DCF00DDC2591}"/>
            </c:ext>
          </c:extLst>
        </c:ser>
        <c:dLbls>
          <c:showLegendKey val="0"/>
          <c:showVal val="0"/>
          <c:showCatName val="0"/>
          <c:showSerName val="0"/>
          <c:showPercent val="0"/>
          <c:showBubbleSize val="0"/>
        </c:dLbls>
        <c:gapWidth val="219"/>
        <c:overlap val="-27"/>
        <c:axId val="2038259248"/>
        <c:axId val="2038260912"/>
      </c:barChart>
      <c:catAx>
        <c:axId val="203825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8260912"/>
        <c:crosses val="autoZero"/>
        <c:auto val="1"/>
        <c:lblAlgn val="ctr"/>
        <c:lblOffset val="100"/>
        <c:noMultiLvlLbl val="0"/>
      </c:catAx>
      <c:valAx>
        <c:axId val="20382609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8259248"/>
        <c:crosses val="autoZero"/>
        <c:crossBetween val="between"/>
        <c:majorUnit val="0.150000000000000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25: Average life expectancy (1-year</a:t>
            </a:r>
            <a:r>
              <a:rPr lang="en-GB" sz="1000" baseline="0"/>
              <a:t> range) - 2021</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'Life Expectancy'!$C$2</c:f>
              <c:strCache>
                <c:ptCount val="1"/>
                <c:pt idx="0">
                  <c:v>Male</c:v>
                </c:pt>
              </c:strCache>
            </c:strRef>
          </c:tx>
          <c:spPr>
            <a:solidFill>
              <a:schemeClr val="accent6">
                <a:lumMod val="40000"/>
                <a:lumOff val="60000"/>
              </a:schemeClr>
            </a:solidFill>
            <a:ln>
              <a:noFill/>
            </a:ln>
            <a:effectLst/>
          </c:spPr>
          <c:invertIfNegative val="0"/>
          <c:cat>
            <c:strRef>
              <c:f>'Life Expectancy'!$B$3:$B$15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'Life Expectancy'!$C$3:$C$15</c:f>
              <c:numCache>
                <c:formatCode>General</c:formatCode>
                <c:ptCount val="13"/>
                <c:pt idx="0">
                  <c:v>78.8</c:v>
                </c:pt>
                <c:pt idx="1">
                  <c:v>79.5</c:v>
                </c:pt>
                <c:pt idx="2">
                  <c:v>78.400000000000006</c:v>
                </c:pt>
                <c:pt idx="3">
                  <c:v>78.599999999999994</c:v>
                </c:pt>
                <c:pt idx="4">
                  <c:v>77.400000000000006</c:v>
                </c:pt>
                <c:pt idx="5">
                  <c:v>78.2</c:v>
                </c:pt>
                <c:pt idx="6">
                  <c:v>76.599999999999994</c:v>
                </c:pt>
                <c:pt idx="7">
                  <c:v>79.599999999999994</c:v>
                </c:pt>
                <c:pt idx="8">
                  <c:v>80.5</c:v>
                </c:pt>
                <c:pt idx="9">
                  <c:v>77.599999999999994</c:v>
                </c:pt>
                <c:pt idx="10">
                  <c:v>77.400000000000006</c:v>
                </c:pt>
                <c:pt idx="11">
                  <c:v>80.5</c:v>
                </c:pt>
                <c:pt idx="12">
                  <c:v>80.3</c:v>
                </c:pt>
              </c:numCache>
            </c:numRef>
          </c:val>
          <c:extLst>
            <c:ext xmlns:c16="http://schemas.microsoft.com/office/drawing/2014/chart" uri="{C3380CC4-5D6E-409C-BE32-E72D297353CC}">
              <c16:uniqueId val="{00000000-5B8E-4B13-BB78-1BC8B1E76A2A}"/>
            </c:ext>
          </c:extLst>
        </c:ser>
        <c:ser>
          <c:idx val="1"/>
          <c:order val="1"/>
          <c:tx>
            <c:strRef>
              <c:f>'Life Expectancy'!$D$2</c:f>
              <c:strCache>
                <c:ptCount val="1"/>
                <c:pt idx="0">
                  <c:v>Female</c:v>
                </c:pt>
              </c:strCache>
            </c:strRef>
          </c:tx>
          <c:spPr>
            <a:solidFill>
              <a:schemeClr val="accent5">
                <a:lumMod val="40000"/>
                <a:lumOff val="60000"/>
              </a:schemeClr>
            </a:solidFill>
            <a:ln>
              <a:noFill/>
            </a:ln>
            <a:effectLst/>
          </c:spPr>
          <c:invertIfNegative val="0"/>
          <c:cat>
            <c:strRef>
              <c:f>'Life Expectancy'!$B$3:$B$15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'Life Expectancy'!$D$3:$D$15</c:f>
              <c:numCache>
                <c:formatCode>General</c:formatCode>
                <c:ptCount val="13"/>
                <c:pt idx="0">
                  <c:v>83</c:v>
                </c:pt>
                <c:pt idx="1">
                  <c:v>83.4</c:v>
                </c:pt>
                <c:pt idx="2">
                  <c:v>83.1</c:v>
                </c:pt>
                <c:pt idx="3">
                  <c:v>82.2</c:v>
                </c:pt>
                <c:pt idx="4">
                  <c:v>82.5</c:v>
                </c:pt>
                <c:pt idx="5">
                  <c:v>82.4</c:v>
                </c:pt>
                <c:pt idx="6">
                  <c:v>82.5</c:v>
                </c:pt>
                <c:pt idx="7">
                  <c:v>83.9</c:v>
                </c:pt>
                <c:pt idx="8">
                  <c:v>83.9</c:v>
                </c:pt>
                <c:pt idx="9">
                  <c:v>82.2</c:v>
                </c:pt>
                <c:pt idx="10">
                  <c:v>81.599999999999994</c:v>
                </c:pt>
                <c:pt idx="11">
                  <c:v>84.5</c:v>
                </c:pt>
                <c:pt idx="12">
                  <c:v>83.7</c:v>
                </c:pt>
              </c:numCache>
            </c:numRef>
          </c:val>
          <c:extLst>
            <c:ext xmlns:c16="http://schemas.microsoft.com/office/drawing/2014/chart" uri="{C3380CC4-5D6E-409C-BE32-E72D297353CC}">
              <c16:uniqueId val="{00000001-5B8E-4B13-BB78-1BC8B1E76A2A}"/>
            </c:ext>
          </c:extLst>
        </c:ser>
        <c:dLbls>
          <c:showLegendKey val="0"/>
          <c:showVal val="0"/>
          <c:showCatName val="0"/>
          <c:showSerName val="0"/>
          <c:showPercent val="0"/>
          <c:showBubbleSize val="0"/>
        </c:dLbls>
        <c:gapWidth val="219"/>
        <c:overlap val="-27"/>
        <c:axId val="1093633823"/>
        <c:axId val="1093616351"/>
      </c:barChart>
      <c:catAx>
        <c:axId val="109363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616351"/>
        <c:crosses val="autoZero"/>
        <c:auto val="1"/>
        <c:lblAlgn val="ctr"/>
        <c:lblOffset val="100"/>
        <c:noMultiLvlLbl val="0"/>
      </c:catAx>
      <c:valAx>
        <c:axId val="1093616351"/>
        <c:scaling>
          <c:orientation val="minMax"/>
          <c:max val="85"/>
          <c:min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633823"/>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26: People classified</a:t>
            </a:r>
            <a:r>
              <a:rPr lang="en-GB" sz="1000" baseline="0"/>
              <a:t> as obese or overweight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Obesity!$C$2</c:f>
              <c:strCache>
                <c:ptCount val="1"/>
                <c:pt idx="0">
                  <c:v>Year 6 Children</c:v>
                </c:pt>
              </c:strCache>
            </c:strRef>
          </c:tx>
          <c:spPr>
            <a:solidFill>
              <a:schemeClr val="accent6">
                <a:lumMod val="40000"/>
                <a:lumOff val="60000"/>
              </a:schemeClr>
            </a:solidFill>
            <a:ln>
              <a:noFill/>
            </a:ln>
            <a:effectLst/>
          </c:spPr>
          <c:invertIfNegative val="0"/>
          <c:cat>
            <c:strRef>
              <c:f>Obesity!$B$3:$B$15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Obesity!$C$3:$C$15</c:f>
              <c:numCache>
                <c:formatCode>0.0%</c:formatCode>
                <c:ptCount val="13"/>
                <c:pt idx="0">
                  <c:v>0.35</c:v>
                </c:pt>
                <c:pt idx="1">
                  <c:v>0.35399999999999998</c:v>
                </c:pt>
                <c:pt idx="2">
                  <c:v>0.35399999999999998</c:v>
                </c:pt>
                <c:pt idx="3">
                  <c:v>0.38500000000000001</c:v>
                </c:pt>
                <c:pt idx="4">
                  <c:v>0.374</c:v>
                </c:pt>
                <c:pt idx="5">
                  <c:v>0.37</c:v>
                </c:pt>
                <c:pt idx="6">
                  <c:v>0.38200000000000001</c:v>
                </c:pt>
                <c:pt idx="7">
                  <c:v>0.34200000000000003</c:v>
                </c:pt>
                <c:pt idx="8">
                  <c:v>0.29199999999999998</c:v>
                </c:pt>
                <c:pt idx="9">
                  <c:v>0.37</c:v>
                </c:pt>
                <c:pt idx="10">
                  <c:v>0.379</c:v>
                </c:pt>
                <c:pt idx="11">
                  <c:v>0.313</c:v>
                </c:pt>
                <c:pt idx="12">
                  <c:v>0.26</c:v>
                </c:pt>
              </c:numCache>
            </c:numRef>
          </c:val>
          <c:extLst>
            <c:ext xmlns:c16="http://schemas.microsoft.com/office/drawing/2014/chart" uri="{C3380CC4-5D6E-409C-BE32-E72D297353CC}">
              <c16:uniqueId val="{00000000-BC10-42D9-9370-F91E469CB40E}"/>
            </c:ext>
          </c:extLst>
        </c:ser>
        <c:ser>
          <c:idx val="1"/>
          <c:order val="1"/>
          <c:tx>
            <c:strRef>
              <c:f>Obesity!$D$2</c:f>
              <c:strCache>
                <c:ptCount val="1"/>
                <c:pt idx="0">
                  <c:v>Adults</c:v>
                </c:pt>
              </c:strCache>
            </c:strRef>
          </c:tx>
          <c:spPr>
            <a:solidFill>
              <a:schemeClr val="accent5">
                <a:lumMod val="40000"/>
                <a:lumOff val="60000"/>
              </a:schemeClr>
            </a:solidFill>
            <a:ln>
              <a:noFill/>
            </a:ln>
            <a:effectLst/>
          </c:spPr>
          <c:invertIfNegative val="0"/>
          <c:cat>
            <c:strRef>
              <c:f>Obesity!$B$3:$B$15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Obesity!$D$3:$D$15</c:f>
              <c:numCache>
                <c:formatCode>0.0%</c:formatCode>
                <c:ptCount val="13"/>
                <c:pt idx="0">
                  <c:v>0.65800000000000003</c:v>
                </c:pt>
                <c:pt idx="1">
                  <c:v>0.621</c:v>
                </c:pt>
                <c:pt idx="2">
                  <c:v>0.65400000000000003</c:v>
                </c:pt>
                <c:pt idx="3">
                  <c:v>0.64500000000000002</c:v>
                </c:pt>
                <c:pt idx="4">
                  <c:v>0.69399999999999995</c:v>
                </c:pt>
                <c:pt idx="5">
                  <c:v>0.72799999999999998</c:v>
                </c:pt>
                <c:pt idx="6">
                  <c:v>0.68300000000000005</c:v>
                </c:pt>
                <c:pt idx="7">
                  <c:v>0.66600000000000004</c:v>
                </c:pt>
                <c:pt idx="8">
                  <c:v>0.58499999999999996</c:v>
                </c:pt>
                <c:pt idx="9">
                  <c:v>0.66300000000000003</c:v>
                </c:pt>
                <c:pt idx="10">
                  <c:v>0.72</c:v>
                </c:pt>
                <c:pt idx="11">
                  <c:v>0.63300000000000001</c:v>
                </c:pt>
                <c:pt idx="12">
                  <c:v>0.56999999999999995</c:v>
                </c:pt>
              </c:numCache>
            </c:numRef>
          </c:val>
          <c:extLst>
            <c:ext xmlns:c16="http://schemas.microsoft.com/office/drawing/2014/chart" uri="{C3380CC4-5D6E-409C-BE32-E72D297353CC}">
              <c16:uniqueId val="{00000001-BC10-42D9-9370-F91E469CB40E}"/>
            </c:ext>
          </c:extLst>
        </c:ser>
        <c:dLbls>
          <c:showLegendKey val="0"/>
          <c:showVal val="0"/>
          <c:showCatName val="0"/>
          <c:showSerName val="0"/>
          <c:showPercent val="0"/>
          <c:showBubbleSize val="0"/>
        </c:dLbls>
        <c:gapWidth val="219"/>
        <c:overlap val="-27"/>
        <c:axId val="1093644639"/>
        <c:axId val="1093658367"/>
      </c:barChart>
      <c:catAx>
        <c:axId val="1093644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658367"/>
        <c:crosses val="autoZero"/>
        <c:auto val="1"/>
        <c:lblAlgn val="ctr"/>
        <c:lblOffset val="100"/>
        <c:noMultiLvlLbl val="0"/>
      </c:catAx>
      <c:valAx>
        <c:axId val="1093658367"/>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3644639"/>
        <c:crosses val="autoZero"/>
        <c:crossBetween val="between"/>
        <c:maj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a:t>
            </a:r>
            <a:r>
              <a:rPr lang="en-GB" sz="1000" baseline="0"/>
              <a:t> 27:</a:t>
            </a:r>
            <a:r>
              <a:rPr lang="en-GB" sz="1000"/>
              <a:t> People who provide unpaid care 50 or more hours a week</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Care!$B$3</c:f>
              <c:strCache>
                <c:ptCount val="1"/>
                <c:pt idx="0">
                  <c:v>Gravesham</c:v>
                </c:pt>
              </c:strCache>
            </c:strRef>
          </c:tx>
          <c:spPr>
            <a:ln w="28575" cap="rnd">
              <a:solidFill>
                <a:schemeClr val="accent6">
                  <a:lumMod val="40000"/>
                  <a:lumOff val="60000"/>
                </a:schemeClr>
              </a:solidFill>
              <a:round/>
            </a:ln>
            <a:effectLst/>
          </c:spPr>
          <c:marker>
            <c:symbol val="none"/>
          </c:marker>
          <c:cat>
            <c:numRef>
              <c:f>Care!$C$2:$E$2</c:f>
              <c:numCache>
                <c:formatCode>General</c:formatCode>
                <c:ptCount val="3"/>
                <c:pt idx="0">
                  <c:v>2001</c:v>
                </c:pt>
                <c:pt idx="1">
                  <c:v>2011</c:v>
                </c:pt>
                <c:pt idx="2">
                  <c:v>2021</c:v>
                </c:pt>
              </c:numCache>
            </c:numRef>
          </c:cat>
          <c:val>
            <c:numRef>
              <c:f>Care!$C$3:$E$3</c:f>
              <c:numCache>
                <c:formatCode>0.00%</c:formatCode>
                <c:ptCount val="3"/>
                <c:pt idx="0">
                  <c:v>0.02</c:v>
                </c:pt>
                <c:pt idx="1">
                  <c:v>2.7E-2</c:v>
                </c:pt>
                <c:pt idx="2">
                  <c:v>0.03</c:v>
                </c:pt>
              </c:numCache>
            </c:numRef>
          </c:val>
          <c:smooth val="1"/>
          <c:extLst>
            <c:ext xmlns:c16="http://schemas.microsoft.com/office/drawing/2014/chart" uri="{C3380CC4-5D6E-409C-BE32-E72D297353CC}">
              <c16:uniqueId val="{00000000-ED4D-480E-B53A-4AD5B857E02A}"/>
            </c:ext>
          </c:extLst>
        </c:ser>
        <c:ser>
          <c:idx val="1"/>
          <c:order val="1"/>
          <c:tx>
            <c:strRef>
              <c:f>Care!$B$4</c:f>
              <c:strCache>
                <c:ptCount val="1"/>
                <c:pt idx="0">
                  <c:v>Kent</c:v>
                </c:pt>
              </c:strCache>
            </c:strRef>
          </c:tx>
          <c:spPr>
            <a:ln w="28575" cap="rnd">
              <a:solidFill>
                <a:schemeClr val="accent5">
                  <a:lumMod val="40000"/>
                  <a:lumOff val="60000"/>
                </a:schemeClr>
              </a:solidFill>
              <a:round/>
            </a:ln>
            <a:effectLst/>
          </c:spPr>
          <c:marker>
            <c:symbol val="none"/>
          </c:marker>
          <c:cat>
            <c:numRef>
              <c:f>Care!$C$2:$E$2</c:f>
              <c:numCache>
                <c:formatCode>General</c:formatCode>
                <c:ptCount val="3"/>
                <c:pt idx="0">
                  <c:v>2001</c:v>
                </c:pt>
                <c:pt idx="1">
                  <c:v>2011</c:v>
                </c:pt>
                <c:pt idx="2">
                  <c:v>2021</c:v>
                </c:pt>
              </c:numCache>
            </c:numRef>
          </c:cat>
          <c:val>
            <c:numRef>
              <c:f>Care!$C$4:$E$4</c:f>
              <c:numCache>
                <c:formatCode>0.00%</c:formatCode>
                <c:ptCount val="3"/>
                <c:pt idx="0">
                  <c:v>0.02</c:v>
                </c:pt>
                <c:pt idx="1">
                  <c:v>2.5999999999999999E-2</c:v>
                </c:pt>
                <c:pt idx="2">
                  <c:v>2.9000000000000001E-2</c:v>
                </c:pt>
              </c:numCache>
            </c:numRef>
          </c:val>
          <c:smooth val="1"/>
          <c:extLst>
            <c:ext xmlns:c16="http://schemas.microsoft.com/office/drawing/2014/chart" uri="{C3380CC4-5D6E-409C-BE32-E72D297353CC}">
              <c16:uniqueId val="{00000001-ED4D-480E-B53A-4AD5B857E02A}"/>
            </c:ext>
          </c:extLst>
        </c:ser>
        <c:ser>
          <c:idx val="2"/>
          <c:order val="2"/>
          <c:tx>
            <c:strRef>
              <c:f>Care!$B$5</c:f>
              <c:strCache>
                <c:ptCount val="1"/>
                <c:pt idx="0">
                  <c:v>South East</c:v>
                </c:pt>
              </c:strCache>
            </c:strRef>
          </c:tx>
          <c:spPr>
            <a:ln w="28575" cap="rnd">
              <a:solidFill>
                <a:schemeClr val="accent3">
                  <a:lumMod val="40000"/>
                  <a:lumOff val="60000"/>
                </a:schemeClr>
              </a:solidFill>
              <a:round/>
            </a:ln>
            <a:effectLst/>
          </c:spPr>
          <c:marker>
            <c:symbol val="none"/>
          </c:marker>
          <c:cat>
            <c:numRef>
              <c:f>Care!$C$2:$E$2</c:f>
              <c:numCache>
                <c:formatCode>General</c:formatCode>
                <c:ptCount val="3"/>
                <c:pt idx="0">
                  <c:v>2001</c:v>
                </c:pt>
                <c:pt idx="1">
                  <c:v>2011</c:v>
                </c:pt>
                <c:pt idx="2">
                  <c:v>2021</c:v>
                </c:pt>
              </c:numCache>
            </c:numRef>
          </c:cat>
          <c:val>
            <c:numRef>
              <c:f>Care!$C$5:$E$5</c:f>
              <c:numCache>
                <c:formatCode>0.00%</c:formatCode>
                <c:ptCount val="3"/>
                <c:pt idx="0">
                  <c:v>1.7000000000000001E-2</c:v>
                </c:pt>
                <c:pt idx="1">
                  <c:v>2.4E-2</c:v>
                </c:pt>
                <c:pt idx="2">
                  <c:v>2.4E-2</c:v>
                </c:pt>
              </c:numCache>
            </c:numRef>
          </c:val>
          <c:smooth val="1"/>
          <c:extLst>
            <c:ext xmlns:c16="http://schemas.microsoft.com/office/drawing/2014/chart" uri="{C3380CC4-5D6E-409C-BE32-E72D297353CC}">
              <c16:uniqueId val="{00000002-ED4D-480E-B53A-4AD5B857E02A}"/>
            </c:ext>
          </c:extLst>
        </c:ser>
        <c:ser>
          <c:idx val="3"/>
          <c:order val="3"/>
          <c:tx>
            <c:strRef>
              <c:f>Care!$B$6</c:f>
              <c:strCache>
                <c:ptCount val="1"/>
                <c:pt idx="0">
                  <c:v>England</c:v>
                </c:pt>
              </c:strCache>
            </c:strRef>
          </c:tx>
          <c:spPr>
            <a:ln w="28575" cap="rnd">
              <a:solidFill>
                <a:schemeClr val="accent2">
                  <a:lumMod val="40000"/>
                  <a:lumOff val="60000"/>
                </a:schemeClr>
              </a:solidFill>
              <a:round/>
            </a:ln>
            <a:effectLst/>
          </c:spPr>
          <c:marker>
            <c:symbol val="none"/>
          </c:marker>
          <c:cat>
            <c:numRef>
              <c:f>Care!$C$2:$E$2</c:f>
              <c:numCache>
                <c:formatCode>General</c:formatCode>
                <c:ptCount val="3"/>
                <c:pt idx="0">
                  <c:v>2001</c:v>
                </c:pt>
                <c:pt idx="1">
                  <c:v>2011</c:v>
                </c:pt>
                <c:pt idx="2">
                  <c:v>2021</c:v>
                </c:pt>
              </c:numCache>
            </c:numRef>
          </c:cat>
          <c:val>
            <c:numRef>
              <c:f>Care!$C$6:$E$6</c:f>
              <c:numCache>
                <c:formatCode>0.00%</c:formatCode>
                <c:ptCount val="3"/>
                <c:pt idx="0">
                  <c:v>2.1999999999999999E-2</c:v>
                </c:pt>
                <c:pt idx="1">
                  <c:v>2.5000000000000001E-2</c:v>
                </c:pt>
                <c:pt idx="2">
                  <c:v>2.5999999999999999E-2</c:v>
                </c:pt>
              </c:numCache>
            </c:numRef>
          </c:val>
          <c:smooth val="1"/>
          <c:extLst>
            <c:ext xmlns:c16="http://schemas.microsoft.com/office/drawing/2014/chart" uri="{C3380CC4-5D6E-409C-BE32-E72D297353CC}">
              <c16:uniqueId val="{00000003-ED4D-480E-B53A-4AD5B857E02A}"/>
            </c:ext>
          </c:extLst>
        </c:ser>
        <c:dLbls>
          <c:showLegendKey val="0"/>
          <c:showVal val="0"/>
          <c:showCatName val="0"/>
          <c:showSerName val="0"/>
          <c:showPercent val="0"/>
          <c:showBubbleSize val="0"/>
        </c:dLbls>
        <c:smooth val="0"/>
        <c:axId val="1851750559"/>
        <c:axId val="1851748063"/>
      </c:lineChart>
      <c:catAx>
        <c:axId val="1851750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748063"/>
        <c:crosses val="autoZero"/>
        <c:auto val="1"/>
        <c:lblAlgn val="ctr"/>
        <c:lblOffset val="100"/>
        <c:noMultiLvlLbl val="0"/>
      </c:catAx>
      <c:valAx>
        <c:axId val="1851748063"/>
        <c:scaling>
          <c:orientation val="minMax"/>
          <c:max val="3.0000000000000006E-2"/>
          <c:min val="1.0000000000000002E-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1750559"/>
        <c:crosses val="autoZero"/>
        <c:crossBetween val="between"/>
        <c:majorUnit val="5.000000000000001E-3"/>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28: Personal well-being rating - 2023</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'Well Being'!$C$2</c:f>
              <c:strCache>
                <c:ptCount val="1"/>
                <c:pt idx="0">
                  <c:v>Life Satisfaction</c:v>
                </c:pt>
              </c:strCache>
            </c:strRef>
          </c:tx>
          <c:spPr>
            <a:solidFill>
              <a:schemeClr val="accent6">
                <a:lumMod val="40000"/>
                <a:lumOff val="60000"/>
              </a:schemeClr>
            </a:solidFill>
            <a:ln>
              <a:noFill/>
            </a:ln>
            <a:effectLst/>
          </c:spPr>
          <c:invertIfNegative val="0"/>
          <c:cat>
            <c:strRef>
              <c:f>'Well Being'!$B$3:$B$6</c:f>
              <c:strCache>
                <c:ptCount val="4"/>
                <c:pt idx="0">
                  <c:v>Gravesham</c:v>
                </c:pt>
                <c:pt idx="1">
                  <c:v>Kent</c:v>
                </c:pt>
                <c:pt idx="2">
                  <c:v>South East</c:v>
                </c:pt>
                <c:pt idx="3">
                  <c:v>England</c:v>
                </c:pt>
              </c:strCache>
            </c:strRef>
          </c:cat>
          <c:val>
            <c:numRef>
              <c:f>'Well Being'!$C$3:$C$6</c:f>
              <c:numCache>
                <c:formatCode>General</c:formatCode>
                <c:ptCount val="4"/>
                <c:pt idx="0" formatCode="0.00">
                  <c:v>7.48</c:v>
                </c:pt>
                <c:pt idx="1">
                  <c:v>7.59</c:v>
                </c:pt>
                <c:pt idx="2" formatCode="0.00">
                  <c:v>7.53</c:v>
                </c:pt>
                <c:pt idx="3" formatCode="0.00">
                  <c:v>7.44</c:v>
                </c:pt>
              </c:numCache>
            </c:numRef>
          </c:val>
          <c:extLst>
            <c:ext xmlns:c16="http://schemas.microsoft.com/office/drawing/2014/chart" uri="{C3380CC4-5D6E-409C-BE32-E72D297353CC}">
              <c16:uniqueId val="{00000000-BC80-42C5-A916-3BFE240469D3}"/>
            </c:ext>
          </c:extLst>
        </c:ser>
        <c:ser>
          <c:idx val="1"/>
          <c:order val="1"/>
          <c:tx>
            <c:strRef>
              <c:f>'Well Being'!$D$2</c:f>
              <c:strCache>
                <c:ptCount val="1"/>
                <c:pt idx="0">
                  <c:v>Worthwhile </c:v>
                </c:pt>
              </c:strCache>
            </c:strRef>
          </c:tx>
          <c:spPr>
            <a:solidFill>
              <a:schemeClr val="accent5">
                <a:lumMod val="40000"/>
                <a:lumOff val="60000"/>
              </a:schemeClr>
            </a:solidFill>
            <a:ln>
              <a:noFill/>
            </a:ln>
            <a:effectLst/>
          </c:spPr>
          <c:invertIfNegative val="0"/>
          <c:cat>
            <c:strRef>
              <c:f>'Well Being'!$B$3:$B$6</c:f>
              <c:strCache>
                <c:ptCount val="4"/>
                <c:pt idx="0">
                  <c:v>Gravesham</c:v>
                </c:pt>
                <c:pt idx="1">
                  <c:v>Kent</c:v>
                </c:pt>
                <c:pt idx="2">
                  <c:v>South East</c:v>
                </c:pt>
                <c:pt idx="3">
                  <c:v>England</c:v>
                </c:pt>
              </c:strCache>
            </c:strRef>
          </c:cat>
          <c:val>
            <c:numRef>
              <c:f>'Well Being'!$D$3:$D$6</c:f>
              <c:numCache>
                <c:formatCode>General</c:formatCode>
                <c:ptCount val="4"/>
                <c:pt idx="0">
                  <c:v>8.14</c:v>
                </c:pt>
                <c:pt idx="1">
                  <c:v>7.87</c:v>
                </c:pt>
                <c:pt idx="2" formatCode="0.00">
                  <c:v>7.79</c:v>
                </c:pt>
                <c:pt idx="3" formatCode="0.00">
                  <c:v>7.73</c:v>
                </c:pt>
              </c:numCache>
            </c:numRef>
          </c:val>
          <c:extLst>
            <c:ext xmlns:c16="http://schemas.microsoft.com/office/drawing/2014/chart" uri="{C3380CC4-5D6E-409C-BE32-E72D297353CC}">
              <c16:uniqueId val="{00000001-BC80-42C5-A916-3BFE240469D3}"/>
            </c:ext>
          </c:extLst>
        </c:ser>
        <c:ser>
          <c:idx val="2"/>
          <c:order val="2"/>
          <c:tx>
            <c:strRef>
              <c:f>'Well Being'!$E$2</c:f>
              <c:strCache>
                <c:ptCount val="1"/>
                <c:pt idx="0">
                  <c:v>Happiness</c:v>
                </c:pt>
              </c:strCache>
            </c:strRef>
          </c:tx>
          <c:spPr>
            <a:solidFill>
              <a:schemeClr val="accent2">
                <a:lumMod val="40000"/>
                <a:lumOff val="60000"/>
              </a:schemeClr>
            </a:solidFill>
            <a:ln>
              <a:noFill/>
            </a:ln>
            <a:effectLst/>
          </c:spPr>
          <c:invertIfNegative val="0"/>
          <c:cat>
            <c:strRef>
              <c:f>'Well Being'!$B$3:$B$6</c:f>
              <c:strCache>
                <c:ptCount val="4"/>
                <c:pt idx="0">
                  <c:v>Gravesham</c:v>
                </c:pt>
                <c:pt idx="1">
                  <c:v>Kent</c:v>
                </c:pt>
                <c:pt idx="2">
                  <c:v>South East</c:v>
                </c:pt>
                <c:pt idx="3">
                  <c:v>England</c:v>
                </c:pt>
              </c:strCache>
            </c:strRef>
          </c:cat>
          <c:val>
            <c:numRef>
              <c:f>'Well Being'!$E$3:$E$6</c:f>
              <c:numCache>
                <c:formatCode>General</c:formatCode>
                <c:ptCount val="4"/>
                <c:pt idx="0">
                  <c:v>7.41</c:v>
                </c:pt>
                <c:pt idx="1">
                  <c:v>7.58</c:v>
                </c:pt>
                <c:pt idx="2">
                  <c:v>7.43</c:v>
                </c:pt>
                <c:pt idx="3" formatCode="0.00">
                  <c:v>7.38</c:v>
                </c:pt>
              </c:numCache>
            </c:numRef>
          </c:val>
          <c:extLst>
            <c:ext xmlns:c16="http://schemas.microsoft.com/office/drawing/2014/chart" uri="{C3380CC4-5D6E-409C-BE32-E72D297353CC}">
              <c16:uniqueId val="{00000002-BC80-42C5-A916-3BFE240469D3}"/>
            </c:ext>
          </c:extLst>
        </c:ser>
        <c:ser>
          <c:idx val="3"/>
          <c:order val="3"/>
          <c:tx>
            <c:strRef>
              <c:f>'Well Being'!$F$2</c:f>
              <c:strCache>
                <c:ptCount val="1"/>
                <c:pt idx="0">
                  <c:v>Anxiety</c:v>
                </c:pt>
              </c:strCache>
            </c:strRef>
          </c:tx>
          <c:spPr>
            <a:solidFill>
              <a:schemeClr val="accent3">
                <a:lumMod val="40000"/>
                <a:lumOff val="60000"/>
              </a:schemeClr>
            </a:solidFill>
            <a:ln>
              <a:noFill/>
            </a:ln>
            <a:effectLst/>
          </c:spPr>
          <c:invertIfNegative val="0"/>
          <c:cat>
            <c:strRef>
              <c:f>'Well Being'!$B$3:$B$6</c:f>
              <c:strCache>
                <c:ptCount val="4"/>
                <c:pt idx="0">
                  <c:v>Gravesham</c:v>
                </c:pt>
                <c:pt idx="1">
                  <c:v>Kent</c:v>
                </c:pt>
                <c:pt idx="2">
                  <c:v>South East</c:v>
                </c:pt>
                <c:pt idx="3">
                  <c:v>England</c:v>
                </c:pt>
              </c:strCache>
            </c:strRef>
          </c:cat>
          <c:val>
            <c:numRef>
              <c:f>'Well Being'!$F$3:$F$6</c:f>
              <c:numCache>
                <c:formatCode>0.00</c:formatCode>
                <c:ptCount val="4"/>
                <c:pt idx="0">
                  <c:v>3.05</c:v>
                </c:pt>
                <c:pt idx="1">
                  <c:v>3.02</c:v>
                </c:pt>
                <c:pt idx="2">
                  <c:v>3.28</c:v>
                </c:pt>
                <c:pt idx="3">
                  <c:v>3.24</c:v>
                </c:pt>
              </c:numCache>
            </c:numRef>
          </c:val>
          <c:extLst>
            <c:ext xmlns:c16="http://schemas.microsoft.com/office/drawing/2014/chart" uri="{C3380CC4-5D6E-409C-BE32-E72D297353CC}">
              <c16:uniqueId val="{00000003-BC80-42C5-A916-3BFE240469D3}"/>
            </c:ext>
          </c:extLst>
        </c:ser>
        <c:dLbls>
          <c:showLegendKey val="0"/>
          <c:showVal val="0"/>
          <c:showCatName val="0"/>
          <c:showSerName val="0"/>
          <c:showPercent val="0"/>
          <c:showBubbleSize val="0"/>
        </c:dLbls>
        <c:gapWidth val="219"/>
        <c:overlap val="-27"/>
        <c:axId val="1614933504"/>
        <c:axId val="1614931424"/>
      </c:barChart>
      <c:catAx>
        <c:axId val="161493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931424"/>
        <c:crosses val="autoZero"/>
        <c:auto val="1"/>
        <c:lblAlgn val="ctr"/>
        <c:lblOffset val="100"/>
        <c:noMultiLvlLbl val="0"/>
      </c:catAx>
      <c:valAx>
        <c:axId val="1614931424"/>
        <c:scaling>
          <c:orientation val="minMax"/>
          <c:max val="1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4933504"/>
        <c:crosses val="autoZero"/>
        <c:crossBetween val="between"/>
        <c:majorUnit val="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29: % of homes</a:t>
            </a:r>
            <a:r>
              <a:rPr lang="en-GB" sz="1000" baseline="0"/>
              <a:t> over-occupied - 2021</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18FA-4F8E-B450-62CEA4578CAE}"/>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18FA-4F8E-B450-62CEA4578CAE}"/>
              </c:ext>
            </c:extLst>
          </c:dPt>
          <c:cat>
            <c:strRef>
              <c:f>Occupancy!$A$3:$A$15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Occupancy!$B$3:$B$15</c:f>
              <c:numCache>
                <c:formatCode>0.0%</c:formatCode>
                <c:ptCount val="13"/>
                <c:pt idx="0">
                  <c:v>3.5999999999999997E-2</c:v>
                </c:pt>
                <c:pt idx="1">
                  <c:v>3.4000000000000002E-2</c:v>
                </c:pt>
                <c:pt idx="2">
                  <c:v>3.1E-2</c:v>
                </c:pt>
                <c:pt idx="3">
                  <c:v>5.6000000000000001E-2</c:v>
                </c:pt>
                <c:pt idx="4">
                  <c:v>3.1E-2</c:v>
                </c:pt>
                <c:pt idx="5">
                  <c:v>3.1E-2</c:v>
                </c:pt>
                <c:pt idx="6">
                  <c:v>0.06</c:v>
                </c:pt>
                <c:pt idx="7">
                  <c:v>3.4000000000000002E-2</c:v>
                </c:pt>
                <c:pt idx="8">
                  <c:v>2.5000000000000001E-2</c:v>
                </c:pt>
                <c:pt idx="9">
                  <c:v>0.04</c:v>
                </c:pt>
                <c:pt idx="10">
                  <c:v>3.6999999999999998E-2</c:v>
                </c:pt>
                <c:pt idx="11">
                  <c:v>2.5000000000000001E-2</c:v>
                </c:pt>
                <c:pt idx="12">
                  <c:v>2.9000000000000001E-2</c:v>
                </c:pt>
              </c:numCache>
            </c:numRef>
          </c:val>
          <c:extLst>
            <c:ext xmlns:c16="http://schemas.microsoft.com/office/drawing/2014/chart" uri="{C3380CC4-5D6E-409C-BE32-E72D297353CC}">
              <c16:uniqueId val="{00000004-18FA-4F8E-B450-62CEA4578CAE}"/>
            </c:ext>
          </c:extLst>
        </c:ser>
        <c:dLbls>
          <c:showLegendKey val="0"/>
          <c:showVal val="0"/>
          <c:showCatName val="0"/>
          <c:showSerName val="0"/>
          <c:showPercent val="0"/>
          <c:showBubbleSize val="0"/>
        </c:dLbls>
        <c:gapWidth val="219"/>
        <c:overlap val="-27"/>
        <c:axId val="2013015311"/>
        <c:axId val="2013015727"/>
      </c:barChart>
      <c:catAx>
        <c:axId val="20130153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015727"/>
        <c:crosses val="autoZero"/>
        <c:auto val="1"/>
        <c:lblAlgn val="ctr"/>
        <c:lblOffset val="100"/>
        <c:noMultiLvlLbl val="0"/>
      </c:catAx>
      <c:valAx>
        <c:axId val="2013015727"/>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3015311"/>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a:t>
            </a:r>
            <a:r>
              <a:rPr lang="en-GB" sz="1000" baseline="0"/>
              <a:t> 3: Mean age of population - 2021 </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0BDF-4435-AEB9-C03FAAA7F63B}"/>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0BDF-4435-AEB9-C03FAAA7F63B}"/>
              </c:ext>
            </c:extLst>
          </c:dPt>
          <c:cat>
            <c:strRef>
              <c:f>'Mean Age'!$A$3:$A$15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'Mean Age'!$B$3:$B$15</c:f>
              <c:numCache>
                <c:formatCode>General</c:formatCode>
                <c:ptCount val="13"/>
                <c:pt idx="0">
                  <c:v>41.6</c:v>
                </c:pt>
                <c:pt idx="1">
                  <c:v>41.1</c:v>
                </c:pt>
                <c:pt idx="2">
                  <c:v>41.9</c:v>
                </c:pt>
                <c:pt idx="3">
                  <c:v>37.5</c:v>
                </c:pt>
                <c:pt idx="4">
                  <c:v>43.9</c:v>
                </c:pt>
                <c:pt idx="5">
                  <c:v>44.7</c:v>
                </c:pt>
                <c:pt idx="6">
                  <c:v>39.5</c:v>
                </c:pt>
                <c:pt idx="7">
                  <c:v>41</c:v>
                </c:pt>
                <c:pt idx="8">
                  <c:v>42.4</c:v>
                </c:pt>
                <c:pt idx="9">
                  <c:v>40.799999999999997</c:v>
                </c:pt>
                <c:pt idx="10">
                  <c:v>43.4</c:v>
                </c:pt>
                <c:pt idx="11">
                  <c:v>41.1</c:v>
                </c:pt>
                <c:pt idx="12">
                  <c:v>41.6</c:v>
                </c:pt>
              </c:numCache>
            </c:numRef>
          </c:val>
          <c:extLst>
            <c:ext xmlns:c16="http://schemas.microsoft.com/office/drawing/2014/chart" uri="{C3380CC4-5D6E-409C-BE32-E72D297353CC}">
              <c16:uniqueId val="{00000004-0BDF-4435-AEB9-C03FAAA7F63B}"/>
            </c:ext>
          </c:extLst>
        </c:ser>
        <c:dLbls>
          <c:showLegendKey val="0"/>
          <c:showVal val="0"/>
          <c:showCatName val="0"/>
          <c:showSerName val="0"/>
          <c:showPercent val="0"/>
          <c:showBubbleSize val="0"/>
        </c:dLbls>
        <c:gapWidth val="219"/>
        <c:overlap val="-27"/>
        <c:axId val="1503276144"/>
        <c:axId val="1503292784"/>
      </c:barChart>
      <c:catAx>
        <c:axId val="1503276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92784"/>
        <c:crosses val="autoZero"/>
        <c:auto val="1"/>
        <c:lblAlgn val="ctr"/>
        <c:lblOffset val="100"/>
        <c:noMultiLvlLbl val="0"/>
      </c:catAx>
      <c:valAx>
        <c:axId val="1503292784"/>
        <c:scaling>
          <c:orientation val="minMax"/>
          <c:max val="50"/>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76144"/>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30: Home ownership - 2001-2021</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Tenure!$C$2</c:f>
              <c:strCache>
                <c:ptCount val="1"/>
                <c:pt idx="0">
                  <c:v>2001</c:v>
                </c:pt>
              </c:strCache>
            </c:strRef>
          </c:tx>
          <c:spPr>
            <a:solidFill>
              <a:schemeClr val="accent6">
                <a:lumMod val="40000"/>
                <a:lumOff val="60000"/>
              </a:schemeClr>
            </a:solidFill>
            <a:ln>
              <a:noFill/>
            </a:ln>
            <a:effectLst/>
          </c:spPr>
          <c:invertIfNegative val="0"/>
          <c:cat>
            <c:strRef>
              <c:f>Tenure!$B$3:$B$15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Tenure!$C$3:$C$15</c:f>
              <c:numCache>
                <c:formatCode>0.0%</c:formatCode>
                <c:ptCount val="13"/>
                <c:pt idx="0">
                  <c:v>0.73</c:v>
                </c:pt>
                <c:pt idx="1">
                  <c:v>0.74199999999999999</c:v>
                </c:pt>
                <c:pt idx="2">
                  <c:v>0.71899999999999997</c:v>
                </c:pt>
                <c:pt idx="3">
                  <c:v>0.73599999999999999</c:v>
                </c:pt>
                <c:pt idx="4">
                  <c:v>0.71300000000000008</c:v>
                </c:pt>
                <c:pt idx="5">
                  <c:v>0.72299999999999998</c:v>
                </c:pt>
                <c:pt idx="6">
                  <c:v>0.71099999999999997</c:v>
                </c:pt>
                <c:pt idx="7">
                  <c:v>0.77200000000000002</c:v>
                </c:pt>
                <c:pt idx="8">
                  <c:v>0.755</c:v>
                </c:pt>
                <c:pt idx="9">
                  <c:v>0.73199999999999998</c:v>
                </c:pt>
                <c:pt idx="10">
                  <c:v>0.7</c:v>
                </c:pt>
                <c:pt idx="11">
                  <c:v>0.748</c:v>
                </c:pt>
                <c:pt idx="12">
                  <c:v>0.70700000000000007</c:v>
                </c:pt>
              </c:numCache>
            </c:numRef>
          </c:val>
          <c:extLst>
            <c:ext xmlns:c16="http://schemas.microsoft.com/office/drawing/2014/chart" uri="{C3380CC4-5D6E-409C-BE32-E72D297353CC}">
              <c16:uniqueId val="{00000000-4D63-4D3D-AC82-79E2F0D918E7}"/>
            </c:ext>
          </c:extLst>
        </c:ser>
        <c:ser>
          <c:idx val="1"/>
          <c:order val="1"/>
          <c:tx>
            <c:strRef>
              <c:f>Tenure!$D$2</c:f>
              <c:strCache>
                <c:ptCount val="1"/>
                <c:pt idx="0">
                  <c:v>2011</c:v>
                </c:pt>
              </c:strCache>
            </c:strRef>
          </c:tx>
          <c:spPr>
            <a:solidFill>
              <a:schemeClr val="accent5">
                <a:lumMod val="40000"/>
                <a:lumOff val="60000"/>
              </a:schemeClr>
            </a:solidFill>
            <a:ln>
              <a:noFill/>
            </a:ln>
            <a:effectLst/>
          </c:spPr>
          <c:invertIfNegative val="0"/>
          <c:cat>
            <c:strRef>
              <c:f>Tenure!$B$3:$B$15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Tenure!$D$3:$D$15</c:f>
              <c:numCache>
                <c:formatCode>0.0%</c:formatCode>
                <c:ptCount val="13"/>
                <c:pt idx="0">
                  <c:v>0.67299999999999993</c:v>
                </c:pt>
                <c:pt idx="1">
                  <c:v>0.68400000000000005</c:v>
                </c:pt>
                <c:pt idx="2">
                  <c:v>0.66</c:v>
                </c:pt>
                <c:pt idx="3">
                  <c:v>0.66900000000000004</c:v>
                </c:pt>
                <c:pt idx="4">
                  <c:v>0.66500000000000004</c:v>
                </c:pt>
                <c:pt idx="5">
                  <c:v>0.64800000000000002</c:v>
                </c:pt>
                <c:pt idx="6">
                  <c:v>0.64599999999999991</c:v>
                </c:pt>
                <c:pt idx="7">
                  <c:v>0.70499999999999996</c:v>
                </c:pt>
                <c:pt idx="8">
                  <c:v>0.72699999999999998</c:v>
                </c:pt>
                <c:pt idx="9">
                  <c:v>0.68299999999999994</c:v>
                </c:pt>
                <c:pt idx="10">
                  <c:v>0.62</c:v>
                </c:pt>
                <c:pt idx="11">
                  <c:v>0.71099999999999997</c:v>
                </c:pt>
                <c:pt idx="12">
                  <c:v>0.65700000000000003</c:v>
                </c:pt>
              </c:numCache>
            </c:numRef>
          </c:val>
          <c:extLst>
            <c:ext xmlns:c16="http://schemas.microsoft.com/office/drawing/2014/chart" uri="{C3380CC4-5D6E-409C-BE32-E72D297353CC}">
              <c16:uniqueId val="{00000001-4D63-4D3D-AC82-79E2F0D918E7}"/>
            </c:ext>
          </c:extLst>
        </c:ser>
        <c:ser>
          <c:idx val="2"/>
          <c:order val="2"/>
          <c:tx>
            <c:strRef>
              <c:f>Tenure!$E$2</c:f>
              <c:strCache>
                <c:ptCount val="1"/>
                <c:pt idx="0">
                  <c:v>2021</c:v>
                </c:pt>
              </c:strCache>
            </c:strRef>
          </c:tx>
          <c:spPr>
            <a:solidFill>
              <a:schemeClr val="accent2">
                <a:lumMod val="40000"/>
                <a:lumOff val="60000"/>
              </a:schemeClr>
            </a:solidFill>
            <a:ln>
              <a:noFill/>
            </a:ln>
            <a:effectLst/>
          </c:spPr>
          <c:invertIfNegative val="0"/>
          <c:cat>
            <c:strRef>
              <c:f>Tenure!$B$3:$B$15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Tenure!$E$3:$E$15</c:f>
              <c:numCache>
                <c:formatCode>0.0%</c:formatCode>
                <c:ptCount val="13"/>
                <c:pt idx="0">
                  <c:v>0.66099999999999992</c:v>
                </c:pt>
                <c:pt idx="1">
                  <c:v>0.66400000000000003</c:v>
                </c:pt>
                <c:pt idx="2">
                  <c:v>0.64800000000000002</c:v>
                </c:pt>
                <c:pt idx="3">
                  <c:v>0.65599999999999992</c:v>
                </c:pt>
                <c:pt idx="4">
                  <c:v>0.66200000000000003</c:v>
                </c:pt>
                <c:pt idx="5">
                  <c:v>0.65799999999999992</c:v>
                </c:pt>
                <c:pt idx="6">
                  <c:v>0.622</c:v>
                </c:pt>
                <c:pt idx="7">
                  <c:v>0.67400000000000004</c:v>
                </c:pt>
                <c:pt idx="8">
                  <c:v>0.71499999999999997</c:v>
                </c:pt>
                <c:pt idx="9">
                  <c:v>0.67</c:v>
                </c:pt>
                <c:pt idx="10">
                  <c:v>0.61399999999999999</c:v>
                </c:pt>
                <c:pt idx="11">
                  <c:v>0.7</c:v>
                </c:pt>
                <c:pt idx="12">
                  <c:v>0.65099999999999991</c:v>
                </c:pt>
              </c:numCache>
            </c:numRef>
          </c:val>
          <c:extLst>
            <c:ext xmlns:c16="http://schemas.microsoft.com/office/drawing/2014/chart" uri="{C3380CC4-5D6E-409C-BE32-E72D297353CC}">
              <c16:uniqueId val="{00000002-4D63-4D3D-AC82-79E2F0D918E7}"/>
            </c:ext>
          </c:extLst>
        </c:ser>
        <c:dLbls>
          <c:showLegendKey val="0"/>
          <c:showVal val="0"/>
          <c:showCatName val="0"/>
          <c:showSerName val="0"/>
          <c:showPercent val="0"/>
          <c:showBubbleSize val="0"/>
        </c:dLbls>
        <c:gapWidth val="219"/>
        <c:overlap val="-27"/>
        <c:axId val="477795695"/>
        <c:axId val="477795279"/>
      </c:barChart>
      <c:catAx>
        <c:axId val="47779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795279"/>
        <c:crosses val="autoZero"/>
        <c:auto val="1"/>
        <c:lblAlgn val="ctr"/>
        <c:lblOffset val="100"/>
        <c:noMultiLvlLbl val="0"/>
      </c:catAx>
      <c:valAx>
        <c:axId val="477795279"/>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7795695"/>
        <c:crosses val="autoZero"/>
        <c:crossBetween val="between"/>
        <c:maj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mn-lt"/>
                <a:ea typeface="+mn-ea"/>
                <a:cs typeface="+mn-cs"/>
              </a:defRPr>
            </a:pPr>
            <a:r>
              <a:rPr lang="en-GB" sz="1000"/>
              <a:t>Table 31: Annual</a:t>
            </a:r>
            <a:r>
              <a:rPr lang="en-GB" sz="1000" baseline="0"/>
              <a:t> a</a:t>
            </a:r>
            <a:r>
              <a:rPr lang="en-GB" sz="1000" b="0" i="0" u="none" strike="noStrike" kern="1200" spc="0" baseline="0">
                <a:solidFill>
                  <a:sysClr val="windowText" lastClr="000000">
                    <a:lumMod val="65000"/>
                    <a:lumOff val="35000"/>
                  </a:sysClr>
                </a:solidFill>
                <a:latin typeface="+mn-lt"/>
                <a:ea typeface="+mn-ea"/>
                <a:cs typeface="+mn-cs"/>
              </a:rPr>
              <a:t>verage price of all property types - September 2023</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ED7E-4295-A909-6129C0741A88}"/>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ED7E-4295-A909-6129C0741A88}"/>
              </c:ext>
            </c:extLst>
          </c:dPt>
          <c:cat>
            <c:strRef>
              <c:f>Prices!$A$3:$A$15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Prices!$B$3:$B$15</c:f>
              <c:numCache>
                <c:formatCode>"£"#,##0_);[Red]\("£"#,##0\)</c:formatCode>
                <c:ptCount val="13"/>
                <c:pt idx="0">
                  <c:v>362324</c:v>
                </c:pt>
                <c:pt idx="1">
                  <c:v>379398</c:v>
                </c:pt>
                <c:pt idx="2">
                  <c:v>389684</c:v>
                </c:pt>
                <c:pt idx="3">
                  <c:v>366282</c:v>
                </c:pt>
                <c:pt idx="4">
                  <c:v>323775</c:v>
                </c:pt>
                <c:pt idx="5">
                  <c:v>325882</c:v>
                </c:pt>
                <c:pt idx="6">
                  <c:v>326561</c:v>
                </c:pt>
                <c:pt idx="7">
                  <c:v>362264</c:v>
                </c:pt>
                <c:pt idx="8">
                  <c:v>495699</c:v>
                </c:pt>
                <c:pt idx="9">
                  <c:v>297542</c:v>
                </c:pt>
                <c:pt idx="10">
                  <c:v>294788</c:v>
                </c:pt>
                <c:pt idx="11">
                  <c:v>426375</c:v>
                </c:pt>
                <c:pt idx="12">
                  <c:v>467342</c:v>
                </c:pt>
              </c:numCache>
            </c:numRef>
          </c:val>
          <c:extLst>
            <c:ext xmlns:c16="http://schemas.microsoft.com/office/drawing/2014/chart" uri="{C3380CC4-5D6E-409C-BE32-E72D297353CC}">
              <c16:uniqueId val="{00000004-ED7E-4295-A909-6129C0741A88}"/>
            </c:ext>
          </c:extLst>
        </c:ser>
        <c:dLbls>
          <c:showLegendKey val="0"/>
          <c:showVal val="0"/>
          <c:showCatName val="0"/>
          <c:showSerName val="0"/>
          <c:showPercent val="0"/>
          <c:showBubbleSize val="0"/>
        </c:dLbls>
        <c:gapWidth val="219"/>
        <c:overlap val="-27"/>
        <c:axId val="487891871"/>
        <c:axId val="487892287"/>
      </c:barChart>
      <c:catAx>
        <c:axId val="4878918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892287"/>
        <c:crosses val="autoZero"/>
        <c:auto val="1"/>
        <c:lblAlgn val="ctr"/>
        <c:lblOffset val="100"/>
        <c:noMultiLvlLbl val="0"/>
      </c:catAx>
      <c:valAx>
        <c:axId val="487892287"/>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891871"/>
        <c:crosses val="autoZero"/>
        <c:crossBetween val="between"/>
        <c:majorUnit val="1500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a:t>
            </a:r>
            <a:r>
              <a:rPr lang="en-GB" sz="1000" baseline="0"/>
              <a:t> 32: </a:t>
            </a:r>
            <a:r>
              <a:rPr lang="en-GB" sz="1000"/>
              <a:t>Average</a:t>
            </a:r>
            <a:r>
              <a:rPr lang="en-GB" sz="1000" baseline="0"/>
              <a:t> monthly private housing rent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3D37-4366-BE06-7CD4EEE152BD}"/>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3D37-4366-BE06-7CD4EEE152BD}"/>
              </c:ext>
            </c:extLst>
          </c:dPt>
          <c:cat>
            <c:strRef>
              <c:f>'Private Rent'!$B$2:$B$14</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c:v>
                </c:pt>
              </c:strCache>
            </c:strRef>
          </c:cat>
          <c:val>
            <c:numRef>
              <c:f>'Private Rent'!$C$2:$C$14</c:f>
              <c:numCache>
                <c:formatCode>General</c:formatCode>
                <c:ptCount val="13"/>
                <c:pt idx="0" formatCode="0">
                  <c:v>955.25</c:v>
                </c:pt>
                <c:pt idx="1">
                  <c:v>925</c:v>
                </c:pt>
                <c:pt idx="2">
                  <c:v>925</c:v>
                </c:pt>
                <c:pt idx="3">
                  <c:v>1178</c:v>
                </c:pt>
                <c:pt idx="4">
                  <c:v>750</c:v>
                </c:pt>
                <c:pt idx="5">
                  <c:v>660</c:v>
                </c:pt>
                <c:pt idx="6">
                  <c:v>975</c:v>
                </c:pt>
                <c:pt idx="7">
                  <c:v>900</c:v>
                </c:pt>
                <c:pt idx="8">
                  <c:v>1300</c:v>
                </c:pt>
                <c:pt idx="9">
                  <c:v>900</c:v>
                </c:pt>
                <c:pt idx="10">
                  <c:v>750</c:v>
                </c:pt>
                <c:pt idx="11">
                  <c:v>1150</c:v>
                </c:pt>
                <c:pt idx="12">
                  <c:v>1050</c:v>
                </c:pt>
              </c:numCache>
            </c:numRef>
          </c:val>
          <c:extLst>
            <c:ext xmlns:c16="http://schemas.microsoft.com/office/drawing/2014/chart" uri="{C3380CC4-5D6E-409C-BE32-E72D297353CC}">
              <c16:uniqueId val="{00000004-3D37-4366-BE06-7CD4EEE152BD}"/>
            </c:ext>
          </c:extLst>
        </c:ser>
        <c:dLbls>
          <c:showLegendKey val="0"/>
          <c:showVal val="0"/>
          <c:showCatName val="0"/>
          <c:showSerName val="0"/>
          <c:showPercent val="0"/>
          <c:showBubbleSize val="0"/>
        </c:dLbls>
        <c:gapWidth val="219"/>
        <c:overlap val="-27"/>
        <c:axId val="744645727"/>
        <c:axId val="744636159"/>
      </c:barChart>
      <c:catAx>
        <c:axId val="744645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636159"/>
        <c:crosses val="autoZero"/>
        <c:auto val="1"/>
        <c:lblAlgn val="ctr"/>
        <c:lblOffset val="100"/>
        <c:noMultiLvlLbl val="0"/>
      </c:catAx>
      <c:valAx>
        <c:axId val="744636159"/>
        <c:scaling>
          <c:orientation val="minMax"/>
          <c:max val="160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4645727"/>
        <c:crosses val="autoZero"/>
        <c:crossBetween val="between"/>
        <c:majorUnit val="4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33: Vacant</a:t>
            </a:r>
            <a:r>
              <a:rPr lang="en-GB" sz="1000" baseline="0"/>
              <a:t> homes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503E-4869-A7DF-C7E3FA00DAEF}"/>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503E-4869-A7DF-C7E3FA00DAEF}"/>
              </c:ext>
            </c:extLst>
          </c:dPt>
          <c:cat>
            <c:strRef>
              <c:f>Vacancies!$B$2:$B$14</c:f>
              <c:strCache>
                <c:ptCount val="13"/>
                <c:pt idx="0">
                  <c:v>Kent</c:v>
                </c:pt>
                <c:pt idx="1">
                  <c:v>Ashford</c:v>
                </c:pt>
                <c:pt idx="2">
                  <c:v>Canterbury</c:v>
                </c:pt>
                <c:pt idx="3">
                  <c:v>Dartford</c:v>
                </c:pt>
                <c:pt idx="4">
                  <c:v>Dover</c:v>
                </c:pt>
                <c:pt idx="5">
                  <c:v>Folkestone and Hythe</c:v>
                </c:pt>
                <c:pt idx="6">
                  <c:v>Gravesham</c:v>
                </c:pt>
                <c:pt idx="7">
                  <c:v>Maidstone</c:v>
                </c:pt>
                <c:pt idx="8">
                  <c:v>Sevenoaks</c:v>
                </c:pt>
                <c:pt idx="9">
                  <c:v>Swale</c:v>
                </c:pt>
                <c:pt idx="10">
                  <c:v>Thanet</c:v>
                </c:pt>
                <c:pt idx="11">
                  <c:v>Tonbridge and Malling</c:v>
                </c:pt>
                <c:pt idx="12">
                  <c:v>Tunbridge Wells</c:v>
                </c:pt>
              </c:strCache>
            </c:strRef>
          </c:cat>
          <c:val>
            <c:numRef>
              <c:f>Vacancies!$C$2:$C$14</c:f>
              <c:numCache>
                <c:formatCode>0.00%</c:formatCode>
                <c:ptCount val="13"/>
                <c:pt idx="0">
                  <c:v>2.5999999999999999E-2</c:v>
                </c:pt>
                <c:pt idx="1">
                  <c:v>2.3E-2</c:v>
                </c:pt>
                <c:pt idx="2">
                  <c:v>3.4000000000000002E-2</c:v>
                </c:pt>
                <c:pt idx="3">
                  <c:v>1.9E-2</c:v>
                </c:pt>
                <c:pt idx="4">
                  <c:v>0.03</c:v>
                </c:pt>
                <c:pt idx="5">
                  <c:v>3.5000000000000003E-2</c:v>
                </c:pt>
                <c:pt idx="6">
                  <c:v>1.9E-2</c:v>
                </c:pt>
                <c:pt idx="7">
                  <c:v>2.1999999999999999E-2</c:v>
                </c:pt>
                <c:pt idx="8">
                  <c:v>2.1000000000000001E-2</c:v>
                </c:pt>
                <c:pt idx="9">
                  <c:v>2.3E-2</c:v>
                </c:pt>
                <c:pt idx="10">
                  <c:v>3.5999999999999997E-2</c:v>
                </c:pt>
                <c:pt idx="11">
                  <c:v>2.4E-2</c:v>
                </c:pt>
                <c:pt idx="12">
                  <c:v>2.5999999999999999E-2</c:v>
                </c:pt>
              </c:numCache>
            </c:numRef>
          </c:val>
          <c:extLst>
            <c:ext xmlns:c16="http://schemas.microsoft.com/office/drawing/2014/chart" uri="{C3380CC4-5D6E-409C-BE32-E72D297353CC}">
              <c16:uniqueId val="{00000004-503E-4869-A7DF-C7E3FA00DAEF}"/>
            </c:ext>
          </c:extLst>
        </c:ser>
        <c:dLbls>
          <c:showLegendKey val="0"/>
          <c:showVal val="0"/>
          <c:showCatName val="0"/>
          <c:showSerName val="0"/>
          <c:showPercent val="0"/>
          <c:showBubbleSize val="0"/>
        </c:dLbls>
        <c:gapWidth val="219"/>
        <c:overlap val="-27"/>
        <c:axId val="173714127"/>
        <c:axId val="173721615"/>
      </c:barChart>
      <c:catAx>
        <c:axId val="173714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21615"/>
        <c:crosses val="autoZero"/>
        <c:auto val="1"/>
        <c:lblAlgn val="ctr"/>
        <c:lblOffset val="100"/>
        <c:noMultiLvlLbl val="0"/>
      </c:catAx>
      <c:valAx>
        <c:axId val="1737216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714127"/>
        <c:crosses val="autoZero"/>
        <c:crossBetween val="between"/>
        <c:majorUnit val="1.0000000000000002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0" i="0" baseline="0">
                <a:effectLst/>
              </a:rPr>
              <a:t>Table 34: Average weekly social housing rent - 2022</a:t>
            </a:r>
            <a:endParaRPr lang="en-GB" sz="1000">
              <a:effectLst/>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5"/>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1-1073-4FC4-AAEC-6EEF67B4611F}"/>
              </c:ext>
            </c:extLst>
          </c:dPt>
          <c:cat>
            <c:strRef>
              <c:f>'Social Rent'!$B$3:$B$9</c:f>
              <c:strCache>
                <c:ptCount val="7"/>
                <c:pt idx="0">
                  <c:v>Ashford</c:v>
                </c:pt>
                <c:pt idx="1">
                  <c:v>Canterbury</c:v>
                </c:pt>
                <c:pt idx="2">
                  <c:v>Dartford</c:v>
                </c:pt>
                <c:pt idx="3">
                  <c:v>Dover</c:v>
                </c:pt>
                <c:pt idx="4">
                  <c:v>Folkestone and Hythe</c:v>
                </c:pt>
                <c:pt idx="5">
                  <c:v>Gravesham</c:v>
                </c:pt>
                <c:pt idx="6">
                  <c:v>Thanet</c:v>
                </c:pt>
              </c:strCache>
            </c:strRef>
          </c:cat>
          <c:val>
            <c:numRef>
              <c:f>'Social Rent'!$C$3:$C$9</c:f>
              <c:numCache>
                <c:formatCode>"£"#,##0.00</c:formatCode>
                <c:ptCount val="7"/>
                <c:pt idx="0">
                  <c:v>99.8</c:v>
                </c:pt>
                <c:pt idx="1">
                  <c:v>90.51</c:v>
                </c:pt>
                <c:pt idx="2">
                  <c:v>93.41</c:v>
                </c:pt>
                <c:pt idx="3">
                  <c:v>86.85</c:v>
                </c:pt>
                <c:pt idx="4">
                  <c:v>87</c:v>
                </c:pt>
                <c:pt idx="5">
                  <c:v>91.61</c:v>
                </c:pt>
                <c:pt idx="6">
                  <c:v>85.02</c:v>
                </c:pt>
              </c:numCache>
            </c:numRef>
          </c:val>
          <c:extLst>
            <c:ext xmlns:c16="http://schemas.microsoft.com/office/drawing/2014/chart" uri="{C3380CC4-5D6E-409C-BE32-E72D297353CC}">
              <c16:uniqueId val="{00000002-1073-4FC4-AAEC-6EEF67B4611F}"/>
            </c:ext>
          </c:extLst>
        </c:ser>
        <c:dLbls>
          <c:showLegendKey val="0"/>
          <c:showVal val="0"/>
          <c:showCatName val="0"/>
          <c:showSerName val="0"/>
          <c:showPercent val="0"/>
          <c:showBubbleSize val="0"/>
        </c:dLbls>
        <c:gapWidth val="219"/>
        <c:overlap val="-27"/>
        <c:axId val="502462927"/>
        <c:axId val="367897391"/>
      </c:barChart>
      <c:catAx>
        <c:axId val="502462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7897391"/>
        <c:crosses val="autoZero"/>
        <c:auto val="1"/>
        <c:lblAlgn val="ctr"/>
        <c:lblOffset val="100"/>
        <c:noMultiLvlLbl val="0"/>
      </c:catAx>
      <c:valAx>
        <c:axId val="367897391"/>
        <c:scaling>
          <c:orientation val="minMax"/>
          <c:max val="100"/>
          <c:min val="70"/>
        </c:scaling>
        <c:delete val="0"/>
        <c:axPos val="l"/>
        <c:majorGridlines>
          <c:spPr>
            <a:ln w="9525" cap="flat" cmpd="sng" algn="ctr">
              <a:solidFill>
                <a:schemeClr val="tx1">
                  <a:lumMod val="15000"/>
                  <a:lumOff val="85000"/>
                </a:schemeClr>
              </a:solidFill>
              <a:round/>
            </a:ln>
            <a:effectLst/>
          </c:spPr>
        </c:majorGridlines>
        <c:numFmt formatCode="&quot;£&quot;#,##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2462927"/>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0" i="0" u="none" strike="noStrike" baseline="0"/>
              <a:t>Table 4: General Fertility Rate - 2021</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E8EC-4C04-8899-DB2F2C1EE342}"/>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E8EC-4C04-8899-DB2F2C1EE342}"/>
              </c:ext>
            </c:extLst>
          </c:dPt>
          <c:cat>
            <c:strRef>
              <c:f>GFR!$A$3:$A$15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GFR!$B$3:$B$15</c:f>
              <c:numCache>
                <c:formatCode>General</c:formatCode>
                <c:ptCount val="13"/>
                <c:pt idx="0">
                  <c:v>58.2</c:v>
                </c:pt>
                <c:pt idx="1">
                  <c:v>58.5</c:v>
                </c:pt>
                <c:pt idx="2">
                  <c:v>40.799999999999997</c:v>
                </c:pt>
                <c:pt idx="3">
                  <c:v>68.7</c:v>
                </c:pt>
                <c:pt idx="4">
                  <c:v>54.9</c:v>
                </c:pt>
                <c:pt idx="5">
                  <c:v>55.9</c:v>
                </c:pt>
                <c:pt idx="6">
                  <c:v>61</c:v>
                </c:pt>
                <c:pt idx="7">
                  <c:v>63.9</c:v>
                </c:pt>
                <c:pt idx="8">
                  <c:v>62.6</c:v>
                </c:pt>
                <c:pt idx="9">
                  <c:v>60.7</c:v>
                </c:pt>
                <c:pt idx="10">
                  <c:v>56.9</c:v>
                </c:pt>
                <c:pt idx="11">
                  <c:v>59.5</c:v>
                </c:pt>
                <c:pt idx="12">
                  <c:v>57.5</c:v>
                </c:pt>
              </c:numCache>
            </c:numRef>
          </c:val>
          <c:extLst>
            <c:ext xmlns:c16="http://schemas.microsoft.com/office/drawing/2014/chart" uri="{C3380CC4-5D6E-409C-BE32-E72D297353CC}">
              <c16:uniqueId val="{00000004-E8EC-4C04-8899-DB2F2C1EE342}"/>
            </c:ext>
          </c:extLst>
        </c:ser>
        <c:dLbls>
          <c:showLegendKey val="0"/>
          <c:showVal val="0"/>
          <c:showCatName val="0"/>
          <c:showSerName val="0"/>
          <c:showPercent val="0"/>
          <c:showBubbleSize val="0"/>
        </c:dLbls>
        <c:gapWidth val="219"/>
        <c:overlap val="-27"/>
        <c:axId val="1399037952"/>
        <c:axId val="1399038368"/>
      </c:barChart>
      <c:catAx>
        <c:axId val="139903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038368"/>
        <c:crosses val="autoZero"/>
        <c:auto val="1"/>
        <c:lblAlgn val="ctr"/>
        <c:lblOffset val="100"/>
        <c:noMultiLvlLbl val="0"/>
      </c:catAx>
      <c:valAx>
        <c:axId val="1399038368"/>
        <c:scaling>
          <c:orientation val="minMax"/>
          <c:max val="70"/>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9037952"/>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5: Households without English as main language </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Language!$B$2</c:f>
              <c:strCache>
                <c:ptCount val="1"/>
                <c:pt idx="0">
                  <c:v>2011</c:v>
                </c:pt>
              </c:strCache>
            </c:strRef>
          </c:tx>
          <c:spPr>
            <a:solidFill>
              <a:schemeClr val="accent6">
                <a:lumMod val="40000"/>
                <a:lumOff val="60000"/>
              </a:schemeClr>
            </a:solidFill>
            <a:ln>
              <a:noFill/>
            </a:ln>
            <a:effectLst/>
          </c:spPr>
          <c:invertIfNegative val="0"/>
          <c:cat>
            <c:strRef>
              <c:f>Language!$A$3:$A$15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Language!$B$3:$B$15</c:f>
              <c:numCache>
                <c:formatCode>0.0%</c:formatCode>
                <c:ptCount val="13"/>
                <c:pt idx="0">
                  <c:v>2.4701224163609283E-2</c:v>
                </c:pt>
                <c:pt idx="1">
                  <c:v>2.5969405905371754E-2</c:v>
                </c:pt>
                <c:pt idx="2">
                  <c:v>2.6377713053923748E-2</c:v>
                </c:pt>
                <c:pt idx="3">
                  <c:v>3.2958259524462963E-2</c:v>
                </c:pt>
                <c:pt idx="4">
                  <c:v>1.8257089629476298E-2</c:v>
                </c:pt>
                <c:pt idx="5">
                  <c:v>2.7522742143143587E-2</c:v>
                </c:pt>
                <c:pt idx="6">
                  <c:v>4.9739061611139966E-2</c:v>
                </c:pt>
                <c:pt idx="7">
                  <c:v>2.9489179945466296E-2</c:v>
                </c:pt>
                <c:pt idx="8">
                  <c:v>1.1973628243300723E-2</c:v>
                </c:pt>
                <c:pt idx="9">
                  <c:v>1.4446343437977871E-2</c:v>
                </c:pt>
                <c:pt idx="10">
                  <c:v>2.8464369129433904E-2</c:v>
                </c:pt>
                <c:pt idx="11">
                  <c:v>1.1071873701703365E-2</c:v>
                </c:pt>
                <c:pt idx="12">
                  <c:v>2.4038665366515454E-2</c:v>
                </c:pt>
              </c:numCache>
            </c:numRef>
          </c:val>
          <c:extLst>
            <c:ext xmlns:c16="http://schemas.microsoft.com/office/drawing/2014/chart" uri="{C3380CC4-5D6E-409C-BE32-E72D297353CC}">
              <c16:uniqueId val="{00000000-DD69-4F9C-B528-28A143441F79}"/>
            </c:ext>
          </c:extLst>
        </c:ser>
        <c:ser>
          <c:idx val="1"/>
          <c:order val="1"/>
          <c:tx>
            <c:strRef>
              <c:f>Language!$C$2</c:f>
              <c:strCache>
                <c:ptCount val="1"/>
                <c:pt idx="0">
                  <c:v>2021</c:v>
                </c:pt>
              </c:strCache>
            </c:strRef>
          </c:tx>
          <c:spPr>
            <a:solidFill>
              <a:schemeClr val="accent5">
                <a:lumMod val="40000"/>
                <a:lumOff val="60000"/>
              </a:schemeClr>
            </a:solidFill>
            <a:ln>
              <a:noFill/>
            </a:ln>
            <a:effectLst/>
          </c:spPr>
          <c:invertIfNegative val="0"/>
          <c:cat>
            <c:strRef>
              <c:f>Language!$A$3:$A$15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Language!$C$3:$C$15</c:f>
              <c:numCache>
                <c:formatCode>0.0%</c:formatCode>
                <c:ptCount val="13"/>
                <c:pt idx="0">
                  <c:v>2.932018081626421E-2</c:v>
                </c:pt>
                <c:pt idx="1">
                  <c:v>3.2733040962956053E-2</c:v>
                </c:pt>
                <c:pt idx="2">
                  <c:v>2.5660318206756016E-2</c:v>
                </c:pt>
                <c:pt idx="3">
                  <c:v>4.9479166666666664E-2</c:v>
                </c:pt>
                <c:pt idx="4">
                  <c:v>1.7784371909000989E-2</c:v>
                </c:pt>
                <c:pt idx="5">
                  <c:v>2.3440086064217148E-2</c:v>
                </c:pt>
                <c:pt idx="6">
                  <c:v>6.4447320487009879E-2</c:v>
                </c:pt>
                <c:pt idx="7">
                  <c:v>4.2045837546343105E-2</c:v>
                </c:pt>
                <c:pt idx="8">
                  <c:v>1.409887576258391E-2</c:v>
                </c:pt>
                <c:pt idx="9">
                  <c:v>2.0431440614926855E-2</c:v>
                </c:pt>
                <c:pt idx="10">
                  <c:v>2.6254441389732954E-2</c:v>
                </c:pt>
                <c:pt idx="11">
                  <c:v>1.3551602486327068E-2</c:v>
                </c:pt>
                <c:pt idx="12">
                  <c:v>2.8181573108267841E-2</c:v>
                </c:pt>
              </c:numCache>
            </c:numRef>
          </c:val>
          <c:extLst>
            <c:ext xmlns:c16="http://schemas.microsoft.com/office/drawing/2014/chart" uri="{C3380CC4-5D6E-409C-BE32-E72D297353CC}">
              <c16:uniqueId val="{00000001-DD69-4F9C-B528-28A143441F79}"/>
            </c:ext>
          </c:extLst>
        </c:ser>
        <c:dLbls>
          <c:showLegendKey val="0"/>
          <c:showVal val="0"/>
          <c:showCatName val="0"/>
          <c:showSerName val="0"/>
          <c:showPercent val="0"/>
          <c:showBubbleSize val="0"/>
        </c:dLbls>
        <c:gapWidth val="219"/>
        <c:overlap val="-27"/>
        <c:axId val="1503285296"/>
        <c:axId val="1503278224"/>
      </c:barChart>
      <c:catAx>
        <c:axId val="1503285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78224"/>
        <c:crosses val="autoZero"/>
        <c:auto val="1"/>
        <c:lblAlgn val="ctr"/>
        <c:lblOffset val="100"/>
        <c:noMultiLvlLbl val="0"/>
      </c:catAx>
      <c:valAx>
        <c:axId val="1503278224"/>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85296"/>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6: Gender identity different from sex registered at birth - 2021</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50E3-49C2-95AC-0D854828FFF9}"/>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50E3-49C2-95AC-0D854828FFF9}"/>
              </c:ext>
            </c:extLst>
          </c:dPt>
          <c:cat>
            <c:strRef>
              <c:f>'Gender Identity'!$A$3:$A$15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'Gender Identity'!$B$3:$B$15</c:f>
              <c:numCache>
                <c:formatCode>0.00%</c:formatCode>
                <c:ptCount val="13"/>
                <c:pt idx="0">
                  <c:v>4.5999999999999999E-3</c:v>
                </c:pt>
                <c:pt idx="1">
                  <c:v>4.7999999999999996E-3</c:v>
                </c:pt>
                <c:pt idx="2">
                  <c:v>5.7999999999999996E-3</c:v>
                </c:pt>
                <c:pt idx="3">
                  <c:v>5.4999999999999997E-3</c:v>
                </c:pt>
                <c:pt idx="4">
                  <c:v>4.0000000000000001E-3</c:v>
                </c:pt>
                <c:pt idx="5">
                  <c:v>4.7000000000000002E-3</c:v>
                </c:pt>
                <c:pt idx="6">
                  <c:v>7.1000000000000004E-3</c:v>
                </c:pt>
                <c:pt idx="7">
                  <c:v>4.4000000000000003E-3</c:v>
                </c:pt>
                <c:pt idx="8">
                  <c:v>2.8999999999999998E-3</c:v>
                </c:pt>
                <c:pt idx="9">
                  <c:v>4.1000000000000003E-3</c:v>
                </c:pt>
                <c:pt idx="10">
                  <c:v>5.3E-3</c:v>
                </c:pt>
                <c:pt idx="11">
                  <c:v>2.7000000000000001E-3</c:v>
                </c:pt>
                <c:pt idx="12">
                  <c:v>3.7000000000000002E-3</c:v>
                </c:pt>
              </c:numCache>
            </c:numRef>
          </c:val>
          <c:extLst>
            <c:ext xmlns:c16="http://schemas.microsoft.com/office/drawing/2014/chart" uri="{C3380CC4-5D6E-409C-BE32-E72D297353CC}">
              <c16:uniqueId val="{00000004-50E3-49C2-95AC-0D854828FFF9}"/>
            </c:ext>
          </c:extLst>
        </c:ser>
        <c:dLbls>
          <c:showLegendKey val="0"/>
          <c:showVal val="0"/>
          <c:showCatName val="0"/>
          <c:showSerName val="0"/>
          <c:showPercent val="0"/>
          <c:showBubbleSize val="0"/>
        </c:dLbls>
        <c:gapWidth val="219"/>
        <c:overlap val="-27"/>
        <c:axId val="1532351008"/>
        <c:axId val="1532348512"/>
      </c:barChart>
      <c:catAx>
        <c:axId val="1532351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348512"/>
        <c:crosses val="autoZero"/>
        <c:auto val="1"/>
        <c:lblAlgn val="ctr"/>
        <c:lblOffset val="100"/>
        <c:noMultiLvlLbl val="0"/>
      </c:catAx>
      <c:valAx>
        <c:axId val="15323485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351008"/>
        <c:crosses val="autoZero"/>
        <c:crossBetween val="between"/>
        <c:majorUnit val="2.0000000000000005E-3"/>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7: Non-heterosexual residents - 2021</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5">
                <a:lumMod val="40000"/>
                <a:lumOff val="60000"/>
              </a:schemeClr>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51D1-4AAD-9E3A-7C3F88332A4C}"/>
              </c:ext>
            </c:extLst>
          </c:dPt>
          <c:dPt>
            <c:idx val="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03-51D1-4AAD-9E3A-7C3F88332A4C}"/>
              </c:ext>
            </c:extLst>
          </c:dPt>
          <c:cat>
            <c:strRef>
              <c:f>'Sex. Orientation'!$A$3:$A$15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'Sex. Orientation'!$B$3:$B$15</c:f>
              <c:numCache>
                <c:formatCode>0.00%</c:formatCode>
                <c:ptCount val="13"/>
                <c:pt idx="0">
                  <c:v>2.9000000000000001E-2</c:v>
                </c:pt>
                <c:pt idx="1">
                  <c:v>2.8000000000000001E-2</c:v>
                </c:pt>
                <c:pt idx="2">
                  <c:v>4.9000000000000002E-2</c:v>
                </c:pt>
                <c:pt idx="3">
                  <c:v>2.4E-2</c:v>
                </c:pt>
                <c:pt idx="4">
                  <c:v>3.2000000000000001E-2</c:v>
                </c:pt>
                <c:pt idx="5">
                  <c:v>0.03</c:v>
                </c:pt>
                <c:pt idx="6">
                  <c:v>2.5000000000000001E-2</c:v>
                </c:pt>
                <c:pt idx="7">
                  <c:v>2.5999999999999999E-2</c:v>
                </c:pt>
                <c:pt idx="8">
                  <c:v>0.02</c:v>
                </c:pt>
                <c:pt idx="9">
                  <c:v>2.8000000000000001E-2</c:v>
                </c:pt>
                <c:pt idx="10">
                  <c:v>3.5999999999999997E-2</c:v>
                </c:pt>
                <c:pt idx="11">
                  <c:v>2.1999999999999999E-2</c:v>
                </c:pt>
                <c:pt idx="12">
                  <c:v>2.7E-2</c:v>
                </c:pt>
              </c:numCache>
            </c:numRef>
          </c:val>
          <c:extLst>
            <c:ext xmlns:c16="http://schemas.microsoft.com/office/drawing/2014/chart" uri="{C3380CC4-5D6E-409C-BE32-E72D297353CC}">
              <c16:uniqueId val="{00000004-51D1-4AAD-9E3A-7C3F88332A4C}"/>
            </c:ext>
          </c:extLst>
        </c:ser>
        <c:dLbls>
          <c:showLegendKey val="0"/>
          <c:showVal val="0"/>
          <c:showCatName val="0"/>
          <c:showSerName val="0"/>
          <c:showPercent val="0"/>
          <c:showBubbleSize val="0"/>
        </c:dLbls>
        <c:gapWidth val="219"/>
        <c:overlap val="-27"/>
        <c:axId val="1503443600"/>
        <c:axId val="1503445264"/>
      </c:barChart>
      <c:catAx>
        <c:axId val="150344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445264"/>
        <c:crosses val="autoZero"/>
        <c:auto val="1"/>
        <c:lblAlgn val="ctr"/>
        <c:lblOffset val="100"/>
        <c:noMultiLvlLbl val="0"/>
      </c:catAx>
      <c:valAx>
        <c:axId val="1503445264"/>
        <c:scaling>
          <c:orientation val="minMax"/>
          <c:max val="8.0000000000000016E-2"/>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443600"/>
        <c:crosses val="autoZero"/>
        <c:crossBetween val="between"/>
        <c:majorUnit val="2.0000000000000004E-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a:t>Table 8: Non-white</a:t>
            </a:r>
            <a:r>
              <a:rPr lang="en-GB" sz="1000" baseline="0"/>
              <a:t> British residents</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Ethnicity!$B$2</c:f>
              <c:strCache>
                <c:ptCount val="1"/>
                <c:pt idx="0">
                  <c:v>2011</c:v>
                </c:pt>
              </c:strCache>
            </c:strRef>
          </c:tx>
          <c:spPr>
            <a:solidFill>
              <a:schemeClr val="accent6">
                <a:lumMod val="40000"/>
                <a:lumOff val="60000"/>
              </a:schemeClr>
            </a:solidFill>
            <a:ln>
              <a:noFill/>
            </a:ln>
            <a:effectLst/>
          </c:spPr>
          <c:invertIfNegative val="0"/>
          <c:cat>
            <c:strRef>
              <c:f>Ethnicity!$A$3:$A$15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Ethnicity!$B$3:$B$15</c:f>
              <c:numCache>
                <c:formatCode>0.00%</c:formatCode>
                <c:ptCount val="13"/>
                <c:pt idx="0">
                  <c:v>0.109</c:v>
                </c:pt>
                <c:pt idx="1">
                  <c:v>0.106</c:v>
                </c:pt>
                <c:pt idx="2">
                  <c:v>0.125</c:v>
                </c:pt>
                <c:pt idx="3">
                  <c:v>0.17399999999999999</c:v>
                </c:pt>
                <c:pt idx="4">
                  <c:v>7.0000000000000007E-2</c:v>
                </c:pt>
                <c:pt idx="5">
                  <c:v>9.1999999999999998E-2</c:v>
                </c:pt>
                <c:pt idx="6">
                  <c:v>0.22900000000000001</c:v>
                </c:pt>
                <c:pt idx="7">
                  <c:v>0.109</c:v>
                </c:pt>
                <c:pt idx="8">
                  <c:v>0.09</c:v>
                </c:pt>
                <c:pt idx="9">
                  <c:v>7.0999999999999994E-2</c:v>
                </c:pt>
                <c:pt idx="10">
                  <c:v>9.6000000000000002E-2</c:v>
                </c:pt>
                <c:pt idx="11">
                  <c:v>7.5999999999999998E-2</c:v>
                </c:pt>
                <c:pt idx="12">
                  <c:v>0.104</c:v>
                </c:pt>
              </c:numCache>
            </c:numRef>
          </c:val>
          <c:extLst>
            <c:ext xmlns:c16="http://schemas.microsoft.com/office/drawing/2014/chart" uri="{C3380CC4-5D6E-409C-BE32-E72D297353CC}">
              <c16:uniqueId val="{00000000-534E-4733-BCEC-4B4609465896}"/>
            </c:ext>
          </c:extLst>
        </c:ser>
        <c:ser>
          <c:idx val="1"/>
          <c:order val="1"/>
          <c:tx>
            <c:strRef>
              <c:f>Ethnicity!$C$2</c:f>
              <c:strCache>
                <c:ptCount val="1"/>
                <c:pt idx="0">
                  <c:v>2021</c:v>
                </c:pt>
              </c:strCache>
            </c:strRef>
          </c:tx>
          <c:spPr>
            <a:solidFill>
              <a:schemeClr val="accent5">
                <a:lumMod val="40000"/>
                <a:lumOff val="60000"/>
              </a:schemeClr>
            </a:solidFill>
            <a:ln>
              <a:noFill/>
            </a:ln>
            <a:effectLst/>
          </c:spPr>
          <c:invertIfNegative val="0"/>
          <c:cat>
            <c:strRef>
              <c:f>Ethnicity!$A$3:$A$15</c:f>
              <c:strCache>
                <c:ptCount val="13"/>
                <c:pt idx="0">
                  <c:v>Kent</c:v>
                </c:pt>
                <c:pt idx="1">
                  <c:v>Ashford</c:v>
                </c:pt>
                <c:pt idx="2">
                  <c:v>Canterbury</c:v>
                </c:pt>
                <c:pt idx="3">
                  <c:v>Dartford</c:v>
                </c:pt>
                <c:pt idx="4">
                  <c:v>Dover</c:v>
                </c:pt>
                <c:pt idx="5">
                  <c:v>Folkestone &amp; Hythe</c:v>
                </c:pt>
                <c:pt idx="6">
                  <c:v>Gravesham</c:v>
                </c:pt>
                <c:pt idx="7">
                  <c:v>Maidstone</c:v>
                </c:pt>
                <c:pt idx="8">
                  <c:v>Sevenoaks</c:v>
                </c:pt>
                <c:pt idx="9">
                  <c:v>Swale</c:v>
                </c:pt>
                <c:pt idx="10">
                  <c:v>Thanet</c:v>
                </c:pt>
                <c:pt idx="11">
                  <c:v>Tonbridge &amp; Malling</c:v>
                </c:pt>
                <c:pt idx="12">
                  <c:v>Tunbridge Wells</c:v>
                </c:pt>
              </c:strCache>
            </c:strRef>
          </c:cat>
          <c:val>
            <c:numRef>
              <c:f>Ethnicity!$C$3:$C$15</c:f>
              <c:numCache>
                <c:formatCode>0.00%</c:formatCode>
                <c:ptCount val="13"/>
                <c:pt idx="0">
                  <c:v>0.16800000000000001</c:v>
                </c:pt>
                <c:pt idx="1">
                  <c:v>0.17399999999999999</c:v>
                </c:pt>
                <c:pt idx="2">
                  <c:v>0.17499999999999999</c:v>
                </c:pt>
                <c:pt idx="3">
                  <c:v>0.32700000000000001</c:v>
                </c:pt>
                <c:pt idx="4">
                  <c:v>9.7000000000000003E-2</c:v>
                </c:pt>
                <c:pt idx="5">
                  <c:v>0.12</c:v>
                </c:pt>
                <c:pt idx="6">
                  <c:v>0.317</c:v>
                </c:pt>
                <c:pt idx="7">
                  <c:v>0.18</c:v>
                </c:pt>
                <c:pt idx="8">
                  <c:v>0.14399999999999999</c:v>
                </c:pt>
                <c:pt idx="9">
                  <c:v>0.114</c:v>
                </c:pt>
                <c:pt idx="10">
                  <c:v>0.127</c:v>
                </c:pt>
                <c:pt idx="11">
                  <c:v>0.11700000000000001</c:v>
                </c:pt>
                <c:pt idx="12">
                  <c:v>0.158</c:v>
                </c:pt>
              </c:numCache>
            </c:numRef>
          </c:val>
          <c:extLst>
            <c:ext xmlns:c16="http://schemas.microsoft.com/office/drawing/2014/chart" uri="{C3380CC4-5D6E-409C-BE32-E72D297353CC}">
              <c16:uniqueId val="{00000001-534E-4733-BCEC-4B4609465896}"/>
            </c:ext>
          </c:extLst>
        </c:ser>
        <c:dLbls>
          <c:showLegendKey val="0"/>
          <c:showVal val="0"/>
          <c:showCatName val="0"/>
          <c:showSerName val="0"/>
          <c:showPercent val="0"/>
          <c:showBubbleSize val="0"/>
        </c:dLbls>
        <c:gapWidth val="219"/>
        <c:overlap val="-27"/>
        <c:axId val="1396792880"/>
        <c:axId val="1396793296"/>
      </c:barChart>
      <c:catAx>
        <c:axId val="139679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793296"/>
        <c:crosses val="autoZero"/>
        <c:auto val="1"/>
        <c:lblAlgn val="ctr"/>
        <c:lblOffset val="100"/>
        <c:noMultiLvlLbl val="0"/>
      </c:catAx>
      <c:valAx>
        <c:axId val="1396793296"/>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6792880"/>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GB" sz="1000" b="0" i="0" u="none" strike="noStrike" baseline="0"/>
              <a:t>Table 9: NINos allocated by world area of origin - 2022</a:t>
            </a:r>
            <a:endParaRPr lang="en-GB"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lumMod val="40000"/>
                <a:lumOff val="60000"/>
              </a:schemeClr>
            </a:solidFill>
            <a:ln>
              <a:noFill/>
            </a:ln>
            <a:effectLst/>
          </c:spPr>
          <c:invertIfNegative val="0"/>
          <c:cat>
            <c:strRef>
              <c:f>'NINO Allocations'!$B$2:$I$2</c:f>
              <c:strCache>
                <c:ptCount val="8"/>
                <c:pt idx="0">
                  <c:v>European Union</c:v>
                </c:pt>
                <c:pt idx="1">
                  <c:v>Non-EU Europe </c:v>
                </c:pt>
                <c:pt idx="2">
                  <c:v>Asia</c:v>
                </c:pt>
                <c:pt idx="3">
                  <c:v>Sub-Saharan Africa </c:v>
                </c:pt>
                <c:pt idx="4">
                  <c:v>North Africa </c:v>
                </c:pt>
                <c:pt idx="5">
                  <c:v>North America </c:v>
                </c:pt>
                <c:pt idx="6">
                  <c:v>Central and South America</c:v>
                </c:pt>
                <c:pt idx="7">
                  <c:v>Oceania</c:v>
                </c:pt>
              </c:strCache>
            </c:strRef>
          </c:cat>
          <c:val>
            <c:numRef>
              <c:f>'NINO Allocations'!$B$3:$I$3</c:f>
              <c:numCache>
                <c:formatCode>0.00%</c:formatCode>
                <c:ptCount val="8"/>
                <c:pt idx="0">
                  <c:v>0.15</c:v>
                </c:pt>
                <c:pt idx="1">
                  <c:v>9.9000000000000005E-2</c:v>
                </c:pt>
                <c:pt idx="2">
                  <c:v>0.40400000000000003</c:v>
                </c:pt>
                <c:pt idx="3">
                  <c:v>0.22700000000000001</c:v>
                </c:pt>
                <c:pt idx="4">
                  <c:v>6.0000000000000001E-3</c:v>
                </c:pt>
                <c:pt idx="5">
                  <c:v>6.0000000000000001E-3</c:v>
                </c:pt>
                <c:pt idx="6">
                  <c:v>0.10199999999999999</c:v>
                </c:pt>
                <c:pt idx="7">
                  <c:v>4.0000000000000001E-3</c:v>
                </c:pt>
              </c:numCache>
            </c:numRef>
          </c:val>
          <c:extLst>
            <c:ext xmlns:c16="http://schemas.microsoft.com/office/drawing/2014/chart" uri="{C3380CC4-5D6E-409C-BE32-E72D297353CC}">
              <c16:uniqueId val="{00000000-CD57-4310-AA69-5A050E4C5782}"/>
            </c:ext>
          </c:extLst>
        </c:ser>
        <c:dLbls>
          <c:showLegendKey val="0"/>
          <c:showVal val="0"/>
          <c:showCatName val="0"/>
          <c:showSerName val="0"/>
          <c:showPercent val="0"/>
          <c:showBubbleSize val="0"/>
        </c:dLbls>
        <c:gapWidth val="219"/>
        <c:overlap val="-27"/>
        <c:axId val="1503293200"/>
        <c:axId val="1503287792"/>
      </c:barChart>
      <c:catAx>
        <c:axId val="150329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87792"/>
        <c:crosses val="autoZero"/>
        <c:auto val="1"/>
        <c:lblAlgn val="ctr"/>
        <c:lblOffset val="100"/>
        <c:noMultiLvlLbl val="0"/>
      </c:catAx>
      <c:valAx>
        <c:axId val="1503287792"/>
        <c:scaling>
          <c:orientation val="minMax"/>
          <c:max val="0.4"/>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3293200"/>
        <c:crosses val="autoZero"/>
        <c:crossBetween val="between"/>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35</Pages>
  <Words>6729</Words>
  <Characters>36809</Characters>
  <Application>Microsoft Office Word</Application>
  <DocSecurity>0</DocSecurity>
  <Lines>916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Gravesham Community Profile 2024</dc:title>
  <dc:creator>Turner, Ben</dc:creator>
  <cp:lastModifiedBy>Daanish Saleem</cp:lastModifiedBy>
  <cp:revision>2</cp:revision>
  <dcterms:created xsi:type="dcterms:W3CDTF">2024-05-24T13:33:00Z</dcterms:created>
  <dcterms:modified xsi:type="dcterms:W3CDTF">2024-05-24T13:33:00Z</dcterms:modified>
</cp:coreProperties>
</file>