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7B47" w14:textId="179862D0" w:rsidR="00A862AB" w:rsidRDefault="00A862AB" w:rsidP="008D6739"/>
    <w:p w14:paraId="373E066B" w14:textId="77777777" w:rsidR="00A862AB" w:rsidRDefault="00A862AB" w:rsidP="008D6739"/>
    <w:p w14:paraId="6189167A" w14:textId="77777777" w:rsidR="00A862AB" w:rsidRDefault="00A862AB" w:rsidP="008D6739">
      <w:pPr>
        <w:rPr>
          <w:b/>
          <w:bCs/>
          <w:sz w:val="28"/>
          <w:szCs w:val="28"/>
        </w:rPr>
      </w:pPr>
      <w:r>
        <w:rPr>
          <w:b/>
          <w:bCs/>
          <w:sz w:val="28"/>
          <w:szCs w:val="28"/>
        </w:rPr>
        <w:t xml:space="preserve"> </w:t>
      </w:r>
    </w:p>
    <w:p w14:paraId="63303DD4" w14:textId="77777777" w:rsidR="00A862AB" w:rsidRDefault="00A862AB" w:rsidP="008D6739">
      <w:pPr>
        <w:jc w:val="both"/>
        <w:rPr>
          <w:b/>
          <w:bCs/>
          <w:sz w:val="28"/>
          <w:szCs w:val="28"/>
        </w:rPr>
      </w:pPr>
    </w:p>
    <w:p w14:paraId="4CC0E35A" w14:textId="77777777" w:rsidR="00A862AB" w:rsidRDefault="00A862AB" w:rsidP="008D6739"/>
    <w:p w14:paraId="1EDEDEC5" w14:textId="77777777" w:rsidR="00A862AB" w:rsidRDefault="00A862AB" w:rsidP="008D6739"/>
    <w:p w14:paraId="4939ACF5" w14:textId="58596D84" w:rsidR="00A862AB" w:rsidRDefault="00A862AB" w:rsidP="00F36262">
      <w:pPr>
        <w:pStyle w:val="Heading1"/>
        <w:rPr>
          <w:b w:val="0"/>
          <w:bCs w:val="0"/>
          <w:sz w:val="56"/>
          <w:szCs w:val="56"/>
        </w:rPr>
      </w:pPr>
      <w:r w:rsidRPr="00F36262">
        <w:rPr>
          <w:sz w:val="52"/>
          <w:szCs w:val="44"/>
        </w:rPr>
        <w:t>Statement of Licensing Policy</w:t>
      </w:r>
      <w:r w:rsidR="00F36262">
        <w:rPr>
          <w:sz w:val="52"/>
          <w:szCs w:val="44"/>
        </w:rPr>
        <w:t xml:space="preserve"> </w:t>
      </w:r>
    </w:p>
    <w:p w14:paraId="44AD1516" w14:textId="77777777" w:rsidR="00A862AB" w:rsidRDefault="00A862AB" w:rsidP="008D6739">
      <w:pPr>
        <w:jc w:val="center"/>
        <w:rPr>
          <w:b/>
          <w:bCs/>
          <w:sz w:val="56"/>
          <w:szCs w:val="56"/>
        </w:rPr>
      </w:pPr>
      <w:r>
        <w:rPr>
          <w:b/>
          <w:bCs/>
          <w:sz w:val="56"/>
          <w:szCs w:val="56"/>
        </w:rPr>
        <w:t>Gambling Act 2005</w:t>
      </w:r>
    </w:p>
    <w:p w14:paraId="3F0EBDEA" w14:textId="77777777" w:rsidR="00A862AB" w:rsidRDefault="00A862AB" w:rsidP="008D6739">
      <w:pPr>
        <w:jc w:val="center"/>
        <w:rPr>
          <w:b/>
          <w:bCs/>
          <w:sz w:val="56"/>
          <w:szCs w:val="56"/>
        </w:rPr>
      </w:pPr>
    </w:p>
    <w:p w14:paraId="33989A71" w14:textId="77777777" w:rsidR="00A862AB" w:rsidRDefault="00A07D01" w:rsidP="008D6739">
      <w:pPr>
        <w:jc w:val="center"/>
        <w:rPr>
          <w:b/>
          <w:bCs/>
          <w:sz w:val="56"/>
          <w:szCs w:val="56"/>
        </w:rPr>
      </w:pPr>
      <w:r>
        <w:rPr>
          <w:b/>
          <w:bCs/>
          <w:sz w:val="56"/>
          <w:szCs w:val="56"/>
        </w:rPr>
        <w:t>2022-25</w:t>
      </w:r>
    </w:p>
    <w:p w14:paraId="0069B221" w14:textId="77777777" w:rsidR="00A862AB" w:rsidRDefault="00A862AB" w:rsidP="008D6739">
      <w:pPr>
        <w:jc w:val="center"/>
        <w:rPr>
          <w:b/>
          <w:bCs/>
          <w:sz w:val="56"/>
          <w:szCs w:val="56"/>
        </w:rPr>
      </w:pPr>
    </w:p>
    <w:p w14:paraId="71E33DA1" w14:textId="77777777" w:rsidR="00A862AB" w:rsidRDefault="00A862AB" w:rsidP="008D6739">
      <w:pPr>
        <w:jc w:val="center"/>
        <w:rPr>
          <w:b/>
          <w:bCs/>
          <w:sz w:val="56"/>
          <w:szCs w:val="56"/>
        </w:rPr>
      </w:pPr>
    </w:p>
    <w:p w14:paraId="35C038AF" w14:textId="77777777" w:rsidR="00A862AB" w:rsidRDefault="00A862AB" w:rsidP="008D6739">
      <w:pPr>
        <w:jc w:val="center"/>
        <w:rPr>
          <w:b/>
          <w:bCs/>
          <w:sz w:val="56"/>
          <w:szCs w:val="56"/>
        </w:rPr>
      </w:pPr>
    </w:p>
    <w:p w14:paraId="2A4B68B8" w14:textId="77777777" w:rsidR="00A862AB" w:rsidRDefault="00A862AB" w:rsidP="008D6739">
      <w:pPr>
        <w:rPr>
          <w:b/>
          <w:bCs/>
          <w:sz w:val="56"/>
          <w:szCs w:val="56"/>
        </w:rPr>
      </w:pPr>
    </w:p>
    <w:p w14:paraId="29FD17D6" w14:textId="77777777" w:rsidR="00DE1DC3" w:rsidRDefault="00DE1DC3" w:rsidP="008D6739"/>
    <w:p w14:paraId="6D884109" w14:textId="77777777" w:rsidR="00A862AB" w:rsidRDefault="00A862AB" w:rsidP="008D6739"/>
    <w:p w14:paraId="1F33DD60" w14:textId="77777777" w:rsidR="00A862AB" w:rsidRDefault="00A862AB" w:rsidP="008D6739"/>
    <w:p w14:paraId="23C05CF5" w14:textId="77777777" w:rsidR="00A862AB" w:rsidRDefault="00A862AB" w:rsidP="008D6739"/>
    <w:p w14:paraId="25BAD582" w14:textId="77777777" w:rsidR="00A862AB" w:rsidRDefault="00A862AB" w:rsidP="008D6739"/>
    <w:p w14:paraId="0B9DA00A" w14:textId="77777777" w:rsidR="00A862AB" w:rsidRDefault="00A862AB" w:rsidP="008D6739"/>
    <w:p w14:paraId="391161DF" w14:textId="77777777" w:rsidR="00A862AB" w:rsidRDefault="00A862AB" w:rsidP="008D6739"/>
    <w:p w14:paraId="6AE4715D" w14:textId="77777777" w:rsidR="00A862AB" w:rsidRDefault="00A862AB" w:rsidP="008D6739"/>
    <w:p w14:paraId="58DDF651" w14:textId="77777777" w:rsidR="00A862AB" w:rsidRDefault="00A862AB" w:rsidP="008D6739"/>
    <w:p w14:paraId="563F733E" w14:textId="77777777" w:rsidR="00A862AB" w:rsidRPr="00A87D4D" w:rsidRDefault="00A862AB" w:rsidP="008D6739">
      <w:pPr>
        <w:rPr>
          <w:sz w:val="44"/>
          <w:szCs w:val="44"/>
        </w:rPr>
      </w:pPr>
    </w:p>
    <w:p w14:paraId="5B34E7FD" w14:textId="77777777" w:rsidR="00A862AB" w:rsidRPr="00A87D4D" w:rsidRDefault="00A07D01" w:rsidP="008D6739">
      <w:pPr>
        <w:jc w:val="center"/>
        <w:rPr>
          <w:rFonts w:cs="Arial"/>
          <w:b/>
          <w:sz w:val="44"/>
          <w:szCs w:val="44"/>
        </w:rPr>
      </w:pPr>
      <w:r>
        <w:rPr>
          <w:rFonts w:cs="Arial"/>
          <w:b/>
          <w:sz w:val="44"/>
          <w:szCs w:val="44"/>
        </w:rPr>
        <w:t>31 January 2022 – 30 January 2025</w:t>
      </w:r>
    </w:p>
    <w:p w14:paraId="17B4C648" w14:textId="77777777" w:rsidR="00152EE5" w:rsidRDefault="00152EE5" w:rsidP="008D6739">
      <w:pPr>
        <w:rPr>
          <w:b/>
          <w:bCs/>
          <w:sz w:val="28"/>
          <w:szCs w:val="28"/>
        </w:rPr>
      </w:pPr>
    </w:p>
    <w:p w14:paraId="0D2764D1" w14:textId="77777777" w:rsidR="002E2396" w:rsidRDefault="002E2396" w:rsidP="008D6739">
      <w:pPr>
        <w:rPr>
          <w:b/>
          <w:bCs/>
          <w:sz w:val="28"/>
          <w:szCs w:val="28"/>
        </w:rPr>
      </w:pPr>
    </w:p>
    <w:p w14:paraId="47D4E724" w14:textId="77777777" w:rsidR="002E4F15" w:rsidRDefault="002E4F15" w:rsidP="008D6739">
      <w:pPr>
        <w:rPr>
          <w:rFonts w:cs="Tahoma"/>
          <w:b/>
        </w:rPr>
        <w:sectPr w:rsidR="002E4F15" w:rsidSect="00E96D17">
          <w:headerReference w:type="default" r:id="rId8"/>
          <w:footerReference w:type="default" r:id="rId9"/>
          <w:footerReference w:type="first" r:id="rId10"/>
          <w:pgSz w:w="11906" w:h="16838"/>
          <w:pgMar w:top="1440" w:right="1800" w:bottom="1440" w:left="1800" w:header="720" w:footer="720" w:gutter="0"/>
          <w:pgNumType w:start="1"/>
          <w:cols w:space="720"/>
          <w:formProt w:val="0"/>
          <w:docGrid w:linePitch="299"/>
        </w:sectPr>
      </w:pPr>
    </w:p>
    <w:p w14:paraId="4DB43A7A" w14:textId="08859C66" w:rsidR="00AF1C9B" w:rsidRPr="00E96D17" w:rsidRDefault="00AF1C9B" w:rsidP="00232005">
      <w:pPr>
        <w:pStyle w:val="Heading2"/>
        <w:numPr>
          <w:ilvl w:val="0"/>
          <w:numId w:val="45"/>
        </w:numPr>
        <w:rPr>
          <w:iCs/>
          <w:color w:val="FF00FF"/>
        </w:rPr>
      </w:pPr>
      <w:r w:rsidRPr="00A87BFE">
        <w:lastRenderedPageBreak/>
        <w:t>The Licensing Objectives</w:t>
      </w:r>
    </w:p>
    <w:p w14:paraId="16343177" w14:textId="77777777" w:rsidR="004D48B0" w:rsidRPr="00A87BFE" w:rsidRDefault="004D48B0" w:rsidP="008D6739">
      <w:pPr>
        <w:rPr>
          <w:rFonts w:cs="Tahoma"/>
          <w:b/>
        </w:rPr>
      </w:pPr>
    </w:p>
    <w:p w14:paraId="6B5A5F38" w14:textId="77777777" w:rsidR="00AF1C9B" w:rsidRPr="00A87BFE" w:rsidRDefault="00AF1C9B" w:rsidP="008D6739">
      <w:pPr>
        <w:pStyle w:val="BodyText3"/>
        <w:rPr>
          <w:rFonts w:cs="Tahoma"/>
          <w:sz w:val="22"/>
        </w:rPr>
      </w:pPr>
      <w:r w:rsidRPr="00A87BFE">
        <w:rPr>
          <w:rFonts w:cs="Tahoma"/>
          <w:sz w:val="22"/>
        </w:rPr>
        <w:t>In exercising most of their functions under the Gambling Act 2005, licensing authorities must have regard to the licensing objectives as set out in section 1 of the Act.  The licensing objectives are:</w:t>
      </w:r>
    </w:p>
    <w:p w14:paraId="0503E201" w14:textId="77777777" w:rsidR="00AF1C9B" w:rsidRPr="00A87BFE" w:rsidRDefault="00AF1C9B" w:rsidP="008D6739">
      <w:pPr>
        <w:pStyle w:val="BodyText3"/>
        <w:rPr>
          <w:rFonts w:cs="Tahoma"/>
          <w:sz w:val="22"/>
        </w:rPr>
      </w:pPr>
    </w:p>
    <w:p w14:paraId="0102012E" w14:textId="77777777" w:rsidR="00AF1C9B" w:rsidRPr="00A87BFE" w:rsidRDefault="00AF1C9B" w:rsidP="008D6739">
      <w:pPr>
        <w:numPr>
          <w:ilvl w:val="0"/>
          <w:numId w:val="9"/>
        </w:numPr>
        <w:ind w:left="426" w:hanging="426"/>
        <w:jc w:val="both"/>
        <w:rPr>
          <w:rFonts w:cs="Tahoma"/>
        </w:rPr>
      </w:pPr>
      <w:r w:rsidRPr="00A87BFE">
        <w:rPr>
          <w:rFonts w:cs="Tahoma"/>
        </w:rPr>
        <w:t>Preventing gambling from being a source of crime or disorder, being associated with crime or disorder or being used to support crime</w:t>
      </w:r>
    </w:p>
    <w:p w14:paraId="44F3F9C2" w14:textId="77777777" w:rsidR="00AF1C9B" w:rsidRPr="00A87BFE" w:rsidRDefault="00AF1C9B" w:rsidP="008D6739">
      <w:pPr>
        <w:numPr>
          <w:ilvl w:val="0"/>
          <w:numId w:val="9"/>
        </w:numPr>
        <w:ind w:left="426" w:hanging="426"/>
        <w:jc w:val="both"/>
        <w:rPr>
          <w:rFonts w:cs="Tahoma"/>
        </w:rPr>
      </w:pPr>
      <w:r w:rsidRPr="00A87BFE">
        <w:rPr>
          <w:rFonts w:cs="Tahoma"/>
        </w:rPr>
        <w:t>Ensuring that gambling is conducted in a fair and open way</w:t>
      </w:r>
    </w:p>
    <w:p w14:paraId="5EC15C38" w14:textId="77777777" w:rsidR="00AF1C9B" w:rsidRPr="00A87BFE" w:rsidRDefault="00AF1C9B" w:rsidP="008D6739">
      <w:pPr>
        <w:numPr>
          <w:ilvl w:val="0"/>
          <w:numId w:val="9"/>
        </w:numPr>
        <w:ind w:left="426" w:hanging="426"/>
        <w:jc w:val="both"/>
        <w:rPr>
          <w:rFonts w:cs="Tahoma"/>
        </w:rPr>
      </w:pPr>
      <w:r w:rsidRPr="00A87BFE">
        <w:rPr>
          <w:rFonts w:cs="Tahoma"/>
        </w:rPr>
        <w:t>Protecting children and other vulnerable persons from being harmed or exploited by gambling</w:t>
      </w:r>
    </w:p>
    <w:p w14:paraId="3AFBC65B" w14:textId="77777777" w:rsidR="00AF1C9B" w:rsidRDefault="00AF1C9B" w:rsidP="008D6739">
      <w:pPr>
        <w:jc w:val="both"/>
        <w:rPr>
          <w:rFonts w:cs="Tahoma"/>
        </w:rPr>
      </w:pPr>
    </w:p>
    <w:p w14:paraId="67F56E1E" w14:textId="77777777" w:rsidR="00AF1C9B" w:rsidRPr="00C93293" w:rsidRDefault="00AF1C9B" w:rsidP="008D6739">
      <w:pPr>
        <w:jc w:val="both"/>
        <w:rPr>
          <w:rFonts w:cs="Tahoma"/>
          <w:bCs/>
          <w:iCs/>
        </w:rPr>
      </w:pPr>
      <w:r w:rsidRPr="00C93293">
        <w:rPr>
          <w:rFonts w:cs="Tahoma"/>
          <w:bCs/>
          <w:iCs/>
        </w:rPr>
        <w:t>This Licensing Authority is aware that, as per Section 153, in exercising its functions under Part 8 of the Act it should aim to permit the use of premises in so far as it thinks it is:</w:t>
      </w:r>
    </w:p>
    <w:p w14:paraId="4D8E65AA" w14:textId="77777777" w:rsidR="00AF1C9B" w:rsidRPr="00C93293" w:rsidRDefault="00AF1C9B" w:rsidP="008D6739">
      <w:pPr>
        <w:jc w:val="both"/>
        <w:rPr>
          <w:rFonts w:cs="Tahoma"/>
          <w:bCs/>
          <w:iCs/>
        </w:rPr>
      </w:pPr>
    </w:p>
    <w:p w14:paraId="6ADF12C2" w14:textId="77777777" w:rsidR="00AF1C9B" w:rsidRPr="00C93293" w:rsidRDefault="00AF1C9B" w:rsidP="008D6739">
      <w:pPr>
        <w:numPr>
          <w:ilvl w:val="0"/>
          <w:numId w:val="7"/>
        </w:numPr>
        <w:jc w:val="both"/>
        <w:rPr>
          <w:rFonts w:cs="Tahoma"/>
          <w:bCs/>
          <w:iCs/>
        </w:rPr>
      </w:pPr>
      <w:r w:rsidRPr="00C93293">
        <w:rPr>
          <w:rFonts w:cs="Tahoma"/>
          <w:bCs/>
          <w:iCs/>
        </w:rPr>
        <w:t xml:space="preserve">In accordance with any relevant code of practice issued by the Gambling </w:t>
      </w:r>
      <w:proofErr w:type="gramStart"/>
      <w:r w:rsidRPr="00C93293">
        <w:rPr>
          <w:rFonts w:cs="Tahoma"/>
          <w:bCs/>
          <w:iCs/>
        </w:rPr>
        <w:t>Commission;</w:t>
      </w:r>
      <w:proofErr w:type="gramEnd"/>
    </w:p>
    <w:p w14:paraId="0ADF7AD1" w14:textId="77777777" w:rsidR="00AF1C9B" w:rsidRPr="00C93293" w:rsidRDefault="00AF1C9B" w:rsidP="008D6739">
      <w:pPr>
        <w:numPr>
          <w:ilvl w:val="0"/>
          <w:numId w:val="7"/>
        </w:numPr>
        <w:jc w:val="both"/>
        <w:rPr>
          <w:rFonts w:cs="Tahoma"/>
          <w:bCs/>
          <w:iCs/>
        </w:rPr>
      </w:pPr>
      <w:r w:rsidRPr="00C93293">
        <w:rPr>
          <w:rFonts w:cs="Tahoma"/>
          <w:bCs/>
          <w:iCs/>
        </w:rPr>
        <w:t xml:space="preserve">In accordance with any relevant guidance issued by the Gambling </w:t>
      </w:r>
      <w:proofErr w:type="gramStart"/>
      <w:r w:rsidRPr="00C93293">
        <w:rPr>
          <w:rFonts w:cs="Tahoma"/>
          <w:bCs/>
          <w:iCs/>
        </w:rPr>
        <w:t>Commission;</w:t>
      </w:r>
      <w:proofErr w:type="gramEnd"/>
    </w:p>
    <w:p w14:paraId="3A774B6A" w14:textId="77777777" w:rsidR="00AF1C9B" w:rsidRPr="00C93293" w:rsidRDefault="00AF1C9B" w:rsidP="008D6739">
      <w:pPr>
        <w:numPr>
          <w:ilvl w:val="0"/>
          <w:numId w:val="7"/>
        </w:numPr>
        <w:jc w:val="both"/>
        <w:rPr>
          <w:rFonts w:cs="Tahoma"/>
          <w:bCs/>
          <w:iCs/>
        </w:rPr>
      </w:pPr>
      <w:r w:rsidRPr="00C93293">
        <w:rPr>
          <w:rFonts w:cs="Tahoma"/>
          <w:bCs/>
          <w:iCs/>
        </w:rPr>
        <w:t>Reasonably consistent with the licensing objectives</w:t>
      </w:r>
      <w:r w:rsidR="00A07D01">
        <w:rPr>
          <w:rFonts w:cs="Tahoma"/>
          <w:bCs/>
          <w:iCs/>
        </w:rPr>
        <w:t>; and</w:t>
      </w:r>
    </w:p>
    <w:p w14:paraId="0D94F0C9" w14:textId="77777777" w:rsidR="00AF1C9B" w:rsidRDefault="00AF1C9B" w:rsidP="008D6739">
      <w:pPr>
        <w:numPr>
          <w:ilvl w:val="0"/>
          <w:numId w:val="7"/>
        </w:numPr>
        <w:jc w:val="both"/>
        <w:rPr>
          <w:rFonts w:cs="Tahoma"/>
          <w:bCs/>
          <w:iCs/>
        </w:rPr>
      </w:pPr>
      <w:r w:rsidRPr="00C93293">
        <w:rPr>
          <w:rFonts w:cs="Tahoma"/>
          <w:bCs/>
          <w:iCs/>
        </w:rPr>
        <w:t>In accordance with the Authority’s Statement of Licensing Policy</w:t>
      </w:r>
    </w:p>
    <w:p w14:paraId="25E6093E" w14:textId="77777777" w:rsidR="00406792" w:rsidRPr="00C93293" w:rsidRDefault="00406792" w:rsidP="008D6739">
      <w:pPr>
        <w:ind w:left="360"/>
        <w:jc w:val="both"/>
        <w:rPr>
          <w:rFonts w:cs="Tahoma"/>
          <w:bCs/>
          <w:iCs/>
        </w:rPr>
      </w:pPr>
    </w:p>
    <w:p w14:paraId="03C67FC1" w14:textId="5F514581" w:rsidR="00AF1C9B" w:rsidRDefault="00AF1C9B" w:rsidP="00232005">
      <w:pPr>
        <w:pStyle w:val="Heading2"/>
        <w:numPr>
          <w:ilvl w:val="0"/>
          <w:numId w:val="45"/>
        </w:numPr>
      </w:pPr>
      <w:r w:rsidRPr="00A87BFE">
        <w:t>Introduction</w:t>
      </w:r>
    </w:p>
    <w:p w14:paraId="711FB254" w14:textId="77777777" w:rsidR="004D48B0" w:rsidRPr="00A87BFE" w:rsidRDefault="004D48B0" w:rsidP="008D6739">
      <w:pPr>
        <w:jc w:val="both"/>
        <w:rPr>
          <w:rFonts w:cs="Tahoma"/>
          <w:b/>
          <w:bCs/>
        </w:rPr>
      </w:pPr>
    </w:p>
    <w:p w14:paraId="68092897" w14:textId="77777777" w:rsidR="00F74188" w:rsidRPr="00342FE0" w:rsidRDefault="00AF1C9B" w:rsidP="008D6739">
      <w:pPr>
        <w:jc w:val="both"/>
        <w:rPr>
          <w:rFonts w:cs="Tahoma"/>
          <w:szCs w:val="22"/>
        </w:rPr>
      </w:pPr>
      <w:r w:rsidRPr="00342FE0">
        <w:rPr>
          <w:rFonts w:cs="Tahoma"/>
          <w:szCs w:val="22"/>
        </w:rPr>
        <w:t xml:space="preserve">Gravesham Borough Council is situated in the County of Kent, which contains 12 District Councils and 1 Unitary Authority in total. </w:t>
      </w:r>
    </w:p>
    <w:p w14:paraId="42670E3C" w14:textId="77777777" w:rsidR="00F74188" w:rsidRPr="00342FE0" w:rsidRDefault="00F74188" w:rsidP="008D6739">
      <w:pPr>
        <w:jc w:val="both"/>
        <w:rPr>
          <w:rFonts w:cs="Tahoma"/>
          <w:szCs w:val="22"/>
        </w:rPr>
      </w:pPr>
    </w:p>
    <w:p w14:paraId="0699E46C" w14:textId="77777777" w:rsidR="00AF1C9B" w:rsidRPr="00342FE0" w:rsidRDefault="00AF1C9B" w:rsidP="008D6739">
      <w:pPr>
        <w:jc w:val="both"/>
        <w:rPr>
          <w:rFonts w:cs="Tahoma"/>
          <w:b/>
          <w:bCs/>
          <w:i/>
          <w:iCs/>
          <w:szCs w:val="22"/>
        </w:rPr>
      </w:pPr>
      <w:r w:rsidRPr="00342FE0">
        <w:rPr>
          <w:rFonts w:cs="Tahoma"/>
          <w:szCs w:val="22"/>
        </w:rPr>
        <w:t>Each is represented on the Kent &amp; Medway Regulatory Lice</w:t>
      </w:r>
      <w:r w:rsidR="00A07D01">
        <w:rPr>
          <w:rFonts w:cs="Tahoma"/>
          <w:szCs w:val="22"/>
        </w:rPr>
        <w:t xml:space="preserve">nsing Steering Group </w:t>
      </w:r>
      <w:r w:rsidRPr="00342FE0">
        <w:rPr>
          <w:rFonts w:cs="Tahoma"/>
          <w:szCs w:val="22"/>
        </w:rPr>
        <w:t>whose role includes the identification of issues on which a consistent countywide approach is considered essential and the formulation of recommended policy that establishes a minimum standard on these identified issues.</w:t>
      </w:r>
      <w:r w:rsidRPr="00342FE0">
        <w:rPr>
          <w:rFonts w:cs="Tahoma"/>
          <w:b/>
          <w:bCs/>
          <w:i/>
          <w:iCs/>
          <w:szCs w:val="22"/>
        </w:rPr>
        <w:t xml:space="preserve"> </w:t>
      </w:r>
    </w:p>
    <w:p w14:paraId="58DCC7CB" w14:textId="77777777" w:rsidR="004D48B0" w:rsidRPr="00342FE0" w:rsidRDefault="004D48B0" w:rsidP="008D6739">
      <w:pPr>
        <w:jc w:val="both"/>
        <w:rPr>
          <w:rFonts w:cs="Tahoma"/>
          <w:szCs w:val="22"/>
        </w:rPr>
      </w:pPr>
    </w:p>
    <w:p w14:paraId="28E9984E" w14:textId="77777777" w:rsidR="00AF1C9B" w:rsidRDefault="00AF1C9B" w:rsidP="008D6739">
      <w:pPr>
        <w:jc w:val="both"/>
        <w:rPr>
          <w:rFonts w:cs="Tahoma"/>
          <w:szCs w:val="22"/>
        </w:rPr>
      </w:pPr>
      <w:r w:rsidRPr="00342FE0">
        <w:rPr>
          <w:rFonts w:cs="Tahoma"/>
          <w:szCs w:val="22"/>
        </w:rPr>
        <w:t xml:space="preserve">This policy </w:t>
      </w:r>
      <w:r w:rsidR="00986C1A" w:rsidRPr="00342FE0">
        <w:rPr>
          <w:rFonts w:cs="Tahoma"/>
          <w:szCs w:val="22"/>
        </w:rPr>
        <w:t>is an updated version</w:t>
      </w:r>
      <w:r w:rsidR="00F74188" w:rsidRPr="00342FE0">
        <w:rPr>
          <w:rFonts w:cs="Tahoma"/>
          <w:szCs w:val="22"/>
        </w:rPr>
        <w:t xml:space="preserve"> </w:t>
      </w:r>
      <w:r w:rsidR="00986C1A" w:rsidRPr="00342FE0">
        <w:rPr>
          <w:rFonts w:cs="Tahoma"/>
          <w:szCs w:val="22"/>
        </w:rPr>
        <w:t xml:space="preserve">of that </w:t>
      </w:r>
      <w:r w:rsidR="00F74188" w:rsidRPr="00342FE0">
        <w:rPr>
          <w:rFonts w:cs="Tahoma"/>
          <w:szCs w:val="22"/>
        </w:rPr>
        <w:t>originally</w:t>
      </w:r>
      <w:r w:rsidRPr="00342FE0">
        <w:rPr>
          <w:rFonts w:cs="Tahoma"/>
          <w:szCs w:val="22"/>
        </w:rPr>
        <w:t xml:space="preserve"> formulated by the </w:t>
      </w:r>
      <w:r w:rsidR="00A07D01" w:rsidRPr="00342FE0">
        <w:rPr>
          <w:rFonts w:cs="Tahoma"/>
          <w:szCs w:val="22"/>
        </w:rPr>
        <w:t>Kent &amp; Medway Regulatory Licensing Steering Group</w:t>
      </w:r>
      <w:r w:rsidR="00986C1A" w:rsidRPr="00342FE0">
        <w:rPr>
          <w:rFonts w:cs="Tahoma"/>
          <w:szCs w:val="22"/>
        </w:rPr>
        <w:t>.</w:t>
      </w:r>
    </w:p>
    <w:p w14:paraId="2484AED8" w14:textId="77777777" w:rsidR="00A1317E" w:rsidRDefault="00A1317E" w:rsidP="008D6739">
      <w:pPr>
        <w:jc w:val="both"/>
        <w:rPr>
          <w:rFonts w:cs="Tahoma"/>
          <w:szCs w:val="22"/>
        </w:rPr>
      </w:pPr>
    </w:p>
    <w:p w14:paraId="11346B64" w14:textId="77777777" w:rsidR="00BE1A32" w:rsidRPr="00342FE0" w:rsidRDefault="001E3F8D" w:rsidP="008D6739">
      <w:pPr>
        <w:jc w:val="both"/>
        <w:rPr>
          <w:szCs w:val="22"/>
        </w:rPr>
      </w:pPr>
      <w:r w:rsidRPr="00342FE0">
        <w:rPr>
          <w:szCs w:val="22"/>
        </w:rPr>
        <w:t xml:space="preserve">Licensing authorities are required by the Gambling Act 2005 to publish a statement of the principles that they propose to apply when exercising their functions.  This statement must be published at least every three years.  The statement can also be reviewed from “time to time” and the amended parts re-consulted upon.  The statement must then be re-published. </w:t>
      </w:r>
    </w:p>
    <w:p w14:paraId="2308836B" w14:textId="77777777" w:rsidR="00BE1A32" w:rsidRPr="00342FE0" w:rsidRDefault="00BE1A32" w:rsidP="008D6739">
      <w:pPr>
        <w:jc w:val="both"/>
        <w:rPr>
          <w:szCs w:val="22"/>
        </w:rPr>
      </w:pPr>
    </w:p>
    <w:p w14:paraId="18A65A2B" w14:textId="77777777" w:rsidR="001E3F8D" w:rsidRPr="008A3CEE" w:rsidRDefault="001E3F8D" w:rsidP="008D6739">
      <w:pPr>
        <w:jc w:val="both"/>
        <w:rPr>
          <w:szCs w:val="22"/>
        </w:rPr>
      </w:pPr>
      <w:r w:rsidRPr="00342FE0">
        <w:rPr>
          <w:szCs w:val="22"/>
        </w:rPr>
        <w:t xml:space="preserve">In </w:t>
      </w:r>
      <w:r w:rsidRPr="008A3CEE">
        <w:rPr>
          <w:szCs w:val="22"/>
        </w:rPr>
        <w:t xml:space="preserve">determining its </w:t>
      </w:r>
      <w:r w:rsidR="00CC1AD0" w:rsidRPr="008A3CEE">
        <w:rPr>
          <w:szCs w:val="22"/>
        </w:rPr>
        <w:t>policy,</w:t>
      </w:r>
      <w:r w:rsidRPr="008A3CEE">
        <w:rPr>
          <w:szCs w:val="22"/>
        </w:rPr>
        <w:t xml:space="preserve"> the licensing</w:t>
      </w:r>
      <w:r w:rsidR="00BE1A32" w:rsidRPr="008A3CEE">
        <w:rPr>
          <w:szCs w:val="22"/>
        </w:rPr>
        <w:t xml:space="preserve"> authority must have regard to Gambling Commission</w:t>
      </w:r>
      <w:r w:rsidRPr="008A3CEE">
        <w:rPr>
          <w:szCs w:val="22"/>
        </w:rPr>
        <w:t xml:space="preserve"> Guidance</w:t>
      </w:r>
      <w:r w:rsidR="008A3CEE" w:rsidRPr="008A3CEE">
        <w:rPr>
          <w:szCs w:val="22"/>
        </w:rPr>
        <w:t>, principally the Gu</w:t>
      </w:r>
      <w:r w:rsidR="00D11573">
        <w:rPr>
          <w:szCs w:val="22"/>
        </w:rPr>
        <w:t>idance to Licensing Authorities</w:t>
      </w:r>
      <w:r w:rsidR="008A3CEE" w:rsidRPr="008A3CEE">
        <w:rPr>
          <w:szCs w:val="22"/>
        </w:rPr>
        <w:t>,</w:t>
      </w:r>
      <w:r w:rsidRPr="008A3CEE">
        <w:rPr>
          <w:szCs w:val="22"/>
        </w:rPr>
        <w:t xml:space="preserve"> and will give appropriate weight to the views of those it has consulted.</w:t>
      </w:r>
    </w:p>
    <w:p w14:paraId="40DDE33C" w14:textId="77777777" w:rsidR="00BE1A32" w:rsidRDefault="00BE1A32" w:rsidP="008D6739">
      <w:pPr>
        <w:jc w:val="both"/>
        <w:rPr>
          <w:szCs w:val="22"/>
        </w:rPr>
      </w:pPr>
    </w:p>
    <w:p w14:paraId="1B6356CE" w14:textId="77777777" w:rsidR="00406792" w:rsidRPr="008A3CEE" w:rsidRDefault="00406792" w:rsidP="008D6739">
      <w:pPr>
        <w:jc w:val="both"/>
        <w:rPr>
          <w:szCs w:val="22"/>
        </w:rPr>
      </w:pPr>
    </w:p>
    <w:p w14:paraId="4D05E6CA" w14:textId="16719117" w:rsidR="00C6333B" w:rsidRPr="00D12410" w:rsidRDefault="00C6333B" w:rsidP="00232005">
      <w:pPr>
        <w:pStyle w:val="Heading2"/>
        <w:numPr>
          <w:ilvl w:val="0"/>
          <w:numId w:val="45"/>
        </w:numPr>
      </w:pPr>
      <w:r w:rsidRPr="00D12410">
        <w:t>Consultation</w:t>
      </w:r>
    </w:p>
    <w:p w14:paraId="7673B7EF" w14:textId="77777777" w:rsidR="00C6333B" w:rsidRPr="00D12410" w:rsidRDefault="00C6333B" w:rsidP="008D6739">
      <w:pPr>
        <w:pStyle w:val="BodyText3"/>
        <w:rPr>
          <w:sz w:val="22"/>
        </w:rPr>
      </w:pPr>
    </w:p>
    <w:p w14:paraId="506442E2" w14:textId="77777777" w:rsidR="00264B39" w:rsidRPr="00D12410" w:rsidRDefault="00264B39" w:rsidP="008D6739">
      <w:pPr>
        <w:pStyle w:val="BodyText3"/>
        <w:rPr>
          <w:sz w:val="22"/>
        </w:rPr>
      </w:pPr>
      <w:r w:rsidRPr="00D12410">
        <w:rPr>
          <w:sz w:val="22"/>
        </w:rPr>
        <w:t>The Gambling Act requires that the following parties be consulted by Licensing Authorities:</w:t>
      </w:r>
    </w:p>
    <w:p w14:paraId="3166CA12" w14:textId="77777777" w:rsidR="00264B39" w:rsidRPr="00D12410" w:rsidRDefault="00264B39" w:rsidP="008D6739">
      <w:pPr>
        <w:jc w:val="both"/>
        <w:rPr>
          <w:rFonts w:cs="Arial"/>
          <w:szCs w:val="22"/>
        </w:rPr>
      </w:pPr>
    </w:p>
    <w:p w14:paraId="4F62D294" w14:textId="77777777" w:rsidR="00264B39" w:rsidRPr="00D12410" w:rsidRDefault="00264B39" w:rsidP="008D6739">
      <w:pPr>
        <w:numPr>
          <w:ilvl w:val="0"/>
          <w:numId w:val="4"/>
        </w:numPr>
        <w:tabs>
          <w:tab w:val="clear" w:pos="720"/>
          <w:tab w:val="num" w:pos="360"/>
        </w:tabs>
        <w:ind w:left="360"/>
        <w:jc w:val="both"/>
        <w:rPr>
          <w:rFonts w:cs="Arial"/>
          <w:szCs w:val="22"/>
        </w:rPr>
      </w:pPr>
      <w:r w:rsidRPr="00D12410">
        <w:rPr>
          <w:rFonts w:cs="Arial"/>
          <w:szCs w:val="22"/>
        </w:rPr>
        <w:t xml:space="preserve">The Chief Officer of </w:t>
      </w:r>
      <w:proofErr w:type="gramStart"/>
      <w:r w:rsidRPr="00D12410">
        <w:rPr>
          <w:rFonts w:cs="Arial"/>
          <w:szCs w:val="22"/>
        </w:rPr>
        <w:t>Police</w:t>
      </w:r>
      <w:r w:rsidR="00A07D01">
        <w:rPr>
          <w:rFonts w:cs="Arial"/>
          <w:szCs w:val="22"/>
        </w:rPr>
        <w:t>;</w:t>
      </w:r>
      <w:proofErr w:type="gramEnd"/>
    </w:p>
    <w:p w14:paraId="1D3560E4" w14:textId="77777777" w:rsidR="00264B39" w:rsidRPr="00D12410" w:rsidRDefault="00264B39" w:rsidP="008D6739">
      <w:pPr>
        <w:numPr>
          <w:ilvl w:val="0"/>
          <w:numId w:val="4"/>
        </w:numPr>
        <w:tabs>
          <w:tab w:val="clear" w:pos="720"/>
          <w:tab w:val="num" w:pos="360"/>
        </w:tabs>
        <w:ind w:left="360"/>
        <w:jc w:val="both"/>
        <w:rPr>
          <w:rFonts w:cs="Arial"/>
          <w:szCs w:val="22"/>
        </w:rPr>
      </w:pPr>
      <w:r w:rsidRPr="00D12410">
        <w:rPr>
          <w:rFonts w:cs="Arial"/>
          <w:szCs w:val="22"/>
        </w:rPr>
        <w:lastRenderedPageBreak/>
        <w:t xml:space="preserve">One or more persons who appear to the authority represent the interests of persons carrying on gambling businesses in the authority’s </w:t>
      </w:r>
      <w:proofErr w:type="gramStart"/>
      <w:r w:rsidRPr="00D12410">
        <w:rPr>
          <w:rFonts w:cs="Arial"/>
          <w:szCs w:val="22"/>
        </w:rPr>
        <w:t>area</w:t>
      </w:r>
      <w:r w:rsidR="00A07D01">
        <w:rPr>
          <w:rFonts w:cs="Arial"/>
          <w:szCs w:val="22"/>
        </w:rPr>
        <w:t>;</w:t>
      </w:r>
      <w:proofErr w:type="gramEnd"/>
    </w:p>
    <w:p w14:paraId="23D2DE9A" w14:textId="77777777" w:rsidR="00264B39" w:rsidRPr="001D1A65" w:rsidRDefault="00264B39" w:rsidP="008D6739">
      <w:pPr>
        <w:numPr>
          <w:ilvl w:val="0"/>
          <w:numId w:val="4"/>
        </w:numPr>
        <w:tabs>
          <w:tab w:val="clear" w:pos="720"/>
          <w:tab w:val="num" w:pos="360"/>
        </w:tabs>
        <w:ind w:left="360"/>
        <w:jc w:val="both"/>
        <w:rPr>
          <w:rFonts w:cs="Arial"/>
          <w:szCs w:val="22"/>
        </w:rPr>
      </w:pPr>
      <w:r w:rsidRPr="00D12410">
        <w:rPr>
          <w:rFonts w:cs="Arial"/>
          <w:szCs w:val="22"/>
        </w:rPr>
        <w:t xml:space="preserve">One or more persons who appear to the authority to represent the interests of persons who are likely to be affected by the exercise of the authority’s functions </w:t>
      </w:r>
      <w:r w:rsidRPr="001D1A65">
        <w:rPr>
          <w:rFonts w:cs="Arial"/>
          <w:szCs w:val="22"/>
        </w:rPr>
        <w:t>under the Gambling Act 2005</w:t>
      </w:r>
      <w:r w:rsidR="00A07D01">
        <w:rPr>
          <w:rFonts w:cs="Arial"/>
          <w:szCs w:val="22"/>
        </w:rPr>
        <w:t>.</w:t>
      </w:r>
    </w:p>
    <w:p w14:paraId="6BB27044" w14:textId="77777777" w:rsidR="00BE1A32" w:rsidRPr="001D1A65" w:rsidRDefault="00BE1A32" w:rsidP="008D6739">
      <w:pPr>
        <w:ind w:left="360"/>
        <w:jc w:val="both"/>
        <w:rPr>
          <w:rFonts w:cs="Arial"/>
          <w:szCs w:val="22"/>
        </w:rPr>
      </w:pPr>
    </w:p>
    <w:p w14:paraId="3789D4FE" w14:textId="77777777" w:rsidR="001E3F8D" w:rsidRPr="001D1A65" w:rsidRDefault="001E3F8D" w:rsidP="008D6739">
      <w:pPr>
        <w:jc w:val="both"/>
        <w:rPr>
          <w:rFonts w:cs="Arial"/>
          <w:szCs w:val="22"/>
        </w:rPr>
      </w:pPr>
      <w:r w:rsidRPr="001D1A65">
        <w:rPr>
          <w:rFonts w:cs="Arial"/>
          <w:szCs w:val="22"/>
        </w:rPr>
        <w:t>Gravesham Borough Council consulted widely on</w:t>
      </w:r>
      <w:r w:rsidR="00264B39" w:rsidRPr="001D1A65">
        <w:rPr>
          <w:rFonts w:cs="Arial"/>
          <w:szCs w:val="22"/>
        </w:rPr>
        <w:t xml:space="preserve"> this policy statement, between </w:t>
      </w:r>
      <w:r w:rsidR="00796E3A">
        <w:rPr>
          <w:rFonts w:cs="Arial"/>
          <w:szCs w:val="22"/>
        </w:rPr>
        <w:t>14 September 2021 to 12 October 2021</w:t>
      </w:r>
      <w:r w:rsidR="00264B39" w:rsidRPr="001D1A65">
        <w:rPr>
          <w:rFonts w:cs="Arial"/>
          <w:szCs w:val="22"/>
        </w:rPr>
        <w:t xml:space="preserve">, </w:t>
      </w:r>
      <w:r w:rsidRPr="001D1A65">
        <w:rPr>
          <w:rFonts w:cs="Arial"/>
          <w:szCs w:val="22"/>
        </w:rPr>
        <w:t>before finalising and publishing it.  The</w:t>
      </w:r>
      <w:r w:rsidR="00264B39" w:rsidRPr="001D1A65">
        <w:rPr>
          <w:rFonts w:cs="Arial"/>
          <w:szCs w:val="22"/>
        </w:rPr>
        <w:t xml:space="preserve"> full </w:t>
      </w:r>
      <w:r w:rsidRPr="001D1A65">
        <w:rPr>
          <w:rFonts w:cs="Arial"/>
          <w:szCs w:val="22"/>
        </w:rPr>
        <w:t xml:space="preserve">list of </w:t>
      </w:r>
      <w:r w:rsidRPr="00796E3A">
        <w:rPr>
          <w:rFonts w:cs="Arial"/>
          <w:szCs w:val="22"/>
        </w:rPr>
        <w:t xml:space="preserve">persons this authority consulted is </w:t>
      </w:r>
      <w:r w:rsidR="00264B39" w:rsidRPr="00796E3A">
        <w:rPr>
          <w:rFonts w:cs="Arial"/>
          <w:szCs w:val="22"/>
        </w:rPr>
        <w:t>provided</w:t>
      </w:r>
      <w:r w:rsidRPr="00796E3A">
        <w:rPr>
          <w:rFonts w:cs="Arial"/>
          <w:szCs w:val="22"/>
        </w:rPr>
        <w:t xml:space="preserve"> at A</w:t>
      </w:r>
      <w:r w:rsidR="006346F8">
        <w:rPr>
          <w:rFonts w:cs="Arial"/>
          <w:szCs w:val="22"/>
        </w:rPr>
        <w:t>ppendix 5</w:t>
      </w:r>
      <w:r w:rsidRPr="00796E3A">
        <w:rPr>
          <w:rFonts w:cs="Arial"/>
          <w:szCs w:val="22"/>
        </w:rPr>
        <w:t>.</w:t>
      </w:r>
    </w:p>
    <w:p w14:paraId="3DBCEA84" w14:textId="77777777" w:rsidR="001E3F8D" w:rsidRPr="00D12410" w:rsidRDefault="001E3F8D" w:rsidP="008D6739">
      <w:pPr>
        <w:jc w:val="both"/>
        <w:rPr>
          <w:rFonts w:cs="Arial"/>
          <w:szCs w:val="22"/>
        </w:rPr>
      </w:pPr>
    </w:p>
    <w:p w14:paraId="137DA66B" w14:textId="77777777" w:rsidR="001E3F8D" w:rsidRPr="00CC1AD0" w:rsidRDefault="001E3F8D" w:rsidP="008D6739">
      <w:pPr>
        <w:rPr>
          <w:rFonts w:cs="Arial"/>
          <w:bCs/>
          <w:iCs/>
          <w:szCs w:val="22"/>
        </w:rPr>
      </w:pPr>
      <w:r w:rsidRPr="00CC1AD0">
        <w:rPr>
          <w:rFonts w:cs="Arial"/>
          <w:bCs/>
          <w:iCs/>
          <w:szCs w:val="22"/>
        </w:rPr>
        <w:t xml:space="preserve">In determining its Statement of Licensing </w:t>
      </w:r>
      <w:proofErr w:type="gramStart"/>
      <w:r w:rsidRPr="00CC1AD0">
        <w:rPr>
          <w:rFonts w:cs="Arial"/>
          <w:bCs/>
          <w:iCs/>
          <w:szCs w:val="22"/>
        </w:rPr>
        <w:t>Policy</w:t>
      </w:r>
      <w:proofErr w:type="gramEnd"/>
      <w:r w:rsidRPr="00CC1AD0">
        <w:rPr>
          <w:rFonts w:cs="Arial"/>
          <w:bCs/>
          <w:iCs/>
          <w:szCs w:val="22"/>
        </w:rPr>
        <w:t xml:space="preserve"> the licensing authority must have regard to the Gambling Commission’s guidance for local authorities, and having regard to that guidance will give appropriate weight to the views of those it has consulted.  In determining what weight to give to </w:t>
      </w:r>
      <w:proofErr w:type="gramStart"/>
      <w:r w:rsidRPr="00CC1AD0">
        <w:rPr>
          <w:rFonts w:cs="Arial"/>
          <w:bCs/>
          <w:iCs/>
          <w:szCs w:val="22"/>
        </w:rPr>
        <w:t>particular representations</w:t>
      </w:r>
      <w:proofErr w:type="gramEnd"/>
      <w:r w:rsidRPr="00CC1AD0">
        <w:rPr>
          <w:rFonts w:cs="Arial"/>
          <w:bCs/>
          <w:iCs/>
          <w:szCs w:val="22"/>
        </w:rPr>
        <w:t>, the factors to be taken into account included:</w:t>
      </w:r>
    </w:p>
    <w:p w14:paraId="56660FE4" w14:textId="77777777" w:rsidR="001E3F8D" w:rsidRPr="00CC1AD0" w:rsidRDefault="001E3F8D" w:rsidP="008D6739">
      <w:pPr>
        <w:rPr>
          <w:rFonts w:cs="Arial"/>
          <w:bCs/>
          <w:iCs/>
          <w:szCs w:val="22"/>
        </w:rPr>
      </w:pPr>
    </w:p>
    <w:p w14:paraId="247C8070" w14:textId="77777777" w:rsidR="001E3F8D" w:rsidRPr="00CC1AD0" w:rsidRDefault="001E3F8D" w:rsidP="008D6739">
      <w:pPr>
        <w:numPr>
          <w:ilvl w:val="0"/>
          <w:numId w:val="8"/>
        </w:numPr>
        <w:rPr>
          <w:rFonts w:cs="Arial"/>
          <w:bCs/>
          <w:iCs/>
          <w:szCs w:val="22"/>
        </w:rPr>
      </w:pPr>
      <w:r w:rsidRPr="00CC1AD0">
        <w:rPr>
          <w:rFonts w:cs="Arial"/>
          <w:bCs/>
          <w:iCs/>
          <w:szCs w:val="22"/>
        </w:rPr>
        <w:t>who is ma</w:t>
      </w:r>
      <w:r w:rsidR="00A07D01" w:rsidRPr="00CC1AD0">
        <w:rPr>
          <w:rFonts w:cs="Arial"/>
          <w:bCs/>
          <w:iCs/>
          <w:szCs w:val="22"/>
        </w:rPr>
        <w:t>king the representation (what is</w:t>
      </w:r>
      <w:r w:rsidRPr="00CC1AD0">
        <w:rPr>
          <w:rFonts w:cs="Arial"/>
          <w:bCs/>
          <w:iCs/>
          <w:szCs w:val="22"/>
        </w:rPr>
        <w:t xml:space="preserve"> their expertise or interest</w:t>
      </w:r>
      <w:proofErr w:type="gramStart"/>
      <w:r w:rsidRPr="00CC1AD0">
        <w:rPr>
          <w:rFonts w:cs="Arial"/>
          <w:bCs/>
          <w:iCs/>
          <w:szCs w:val="22"/>
        </w:rPr>
        <w:t>);</w:t>
      </w:r>
      <w:proofErr w:type="gramEnd"/>
    </w:p>
    <w:p w14:paraId="5757FDA9" w14:textId="77777777" w:rsidR="001E3F8D" w:rsidRPr="00CC1AD0" w:rsidRDefault="001E3F8D" w:rsidP="008D6739">
      <w:pPr>
        <w:numPr>
          <w:ilvl w:val="0"/>
          <w:numId w:val="8"/>
        </w:numPr>
        <w:rPr>
          <w:rFonts w:cs="Arial"/>
          <w:bCs/>
          <w:iCs/>
          <w:szCs w:val="22"/>
        </w:rPr>
      </w:pPr>
      <w:r w:rsidRPr="00CC1AD0">
        <w:rPr>
          <w:rFonts w:cs="Arial"/>
          <w:bCs/>
          <w:iCs/>
          <w:szCs w:val="22"/>
        </w:rPr>
        <w:t xml:space="preserve">relevance of the factors to the licensing </w:t>
      </w:r>
      <w:proofErr w:type="gramStart"/>
      <w:r w:rsidRPr="00CC1AD0">
        <w:rPr>
          <w:rFonts w:cs="Arial"/>
          <w:bCs/>
          <w:iCs/>
          <w:szCs w:val="22"/>
        </w:rPr>
        <w:t>objectives</w:t>
      </w:r>
      <w:r w:rsidR="00A07D01" w:rsidRPr="00CC1AD0">
        <w:rPr>
          <w:rFonts w:cs="Arial"/>
          <w:bCs/>
          <w:iCs/>
          <w:szCs w:val="22"/>
        </w:rPr>
        <w:t>;</w:t>
      </w:r>
      <w:proofErr w:type="gramEnd"/>
    </w:p>
    <w:p w14:paraId="65AB2657" w14:textId="77777777" w:rsidR="001E3F8D" w:rsidRPr="00CC1AD0" w:rsidRDefault="001E3F8D" w:rsidP="008D6739">
      <w:pPr>
        <w:numPr>
          <w:ilvl w:val="0"/>
          <w:numId w:val="8"/>
        </w:numPr>
        <w:rPr>
          <w:rFonts w:cs="Arial"/>
          <w:bCs/>
          <w:iCs/>
          <w:szCs w:val="22"/>
        </w:rPr>
      </w:pPr>
      <w:r w:rsidRPr="00CC1AD0">
        <w:rPr>
          <w:rFonts w:cs="Arial"/>
          <w:bCs/>
          <w:iCs/>
          <w:szCs w:val="22"/>
        </w:rPr>
        <w:t xml:space="preserve">how many other people have expressed the same or </w:t>
      </w:r>
      <w:proofErr w:type="gramStart"/>
      <w:r w:rsidRPr="00CC1AD0">
        <w:rPr>
          <w:rFonts w:cs="Arial"/>
          <w:bCs/>
          <w:iCs/>
          <w:szCs w:val="22"/>
        </w:rPr>
        <w:t>similar views;</w:t>
      </w:r>
      <w:proofErr w:type="gramEnd"/>
    </w:p>
    <w:p w14:paraId="71EAD1A9" w14:textId="77777777" w:rsidR="001E3F8D" w:rsidRPr="00CC1AD0" w:rsidRDefault="001E3F8D" w:rsidP="008D6739">
      <w:pPr>
        <w:numPr>
          <w:ilvl w:val="0"/>
          <w:numId w:val="8"/>
        </w:numPr>
        <w:rPr>
          <w:rFonts w:cs="Arial"/>
          <w:szCs w:val="22"/>
        </w:rPr>
      </w:pPr>
      <w:r w:rsidRPr="00CC1AD0">
        <w:rPr>
          <w:rFonts w:cs="Arial"/>
          <w:bCs/>
          <w:iCs/>
          <w:szCs w:val="22"/>
        </w:rPr>
        <w:t>how far the representation relate</w:t>
      </w:r>
      <w:r w:rsidR="00A07D01" w:rsidRPr="00CC1AD0">
        <w:rPr>
          <w:rFonts w:cs="Arial"/>
          <w:bCs/>
          <w:iCs/>
          <w:szCs w:val="22"/>
        </w:rPr>
        <w:t>s</w:t>
      </w:r>
      <w:r w:rsidRPr="00CC1AD0">
        <w:rPr>
          <w:rFonts w:cs="Arial"/>
          <w:bCs/>
          <w:iCs/>
          <w:szCs w:val="22"/>
        </w:rPr>
        <w:t xml:space="preserve"> to matters the licensing authority should be including in its Statement of Licensing Policy</w:t>
      </w:r>
      <w:r w:rsidR="00A07D01" w:rsidRPr="00CC1AD0">
        <w:rPr>
          <w:rFonts w:cs="Arial"/>
          <w:szCs w:val="22"/>
        </w:rPr>
        <w:t>.</w:t>
      </w:r>
    </w:p>
    <w:p w14:paraId="587A3C7A" w14:textId="5A0F175E" w:rsidR="001E3F8D" w:rsidRPr="00D12410" w:rsidRDefault="001E3F8D" w:rsidP="008D6739">
      <w:pPr>
        <w:pStyle w:val="BodyText2"/>
        <w:rPr>
          <w:rFonts w:ascii="Arial" w:hAnsi="Arial" w:cs="Arial"/>
          <w:sz w:val="22"/>
        </w:rPr>
      </w:pPr>
    </w:p>
    <w:p w14:paraId="646EE65D" w14:textId="77777777" w:rsidR="001E3F8D" w:rsidRPr="00D12410" w:rsidRDefault="001E3F8D" w:rsidP="008D6739">
      <w:pPr>
        <w:jc w:val="both"/>
        <w:rPr>
          <w:rFonts w:cs="Arial"/>
          <w:iCs/>
          <w:szCs w:val="22"/>
        </w:rPr>
      </w:pPr>
      <w:r w:rsidRPr="00D12410">
        <w:rPr>
          <w:rFonts w:cs="Arial"/>
          <w:szCs w:val="22"/>
        </w:rPr>
        <w:t>The full list of comments made, the consideration of them by the Council and the reasons given for decisions made in drafting th</w:t>
      </w:r>
      <w:r w:rsidR="00C6333B" w:rsidRPr="00D12410">
        <w:rPr>
          <w:rFonts w:cs="Arial"/>
          <w:szCs w:val="22"/>
        </w:rPr>
        <w:t>e policy following consultation</w:t>
      </w:r>
      <w:r w:rsidRPr="00D12410">
        <w:rPr>
          <w:rFonts w:cs="Arial"/>
          <w:szCs w:val="22"/>
        </w:rPr>
        <w:t xml:space="preserve"> </w:t>
      </w:r>
      <w:r w:rsidR="00C6333B" w:rsidRPr="00796E3A">
        <w:rPr>
          <w:rFonts w:cs="Arial"/>
          <w:szCs w:val="22"/>
        </w:rPr>
        <w:t>are</w:t>
      </w:r>
      <w:r w:rsidRPr="00D12410">
        <w:rPr>
          <w:rFonts w:cs="Arial"/>
          <w:szCs w:val="22"/>
        </w:rPr>
        <w:t xml:space="preserve"> available </w:t>
      </w:r>
      <w:r w:rsidR="00197C90" w:rsidRPr="009B1E82">
        <w:rPr>
          <w:rFonts w:cs="Arial"/>
          <w:szCs w:val="22"/>
        </w:rPr>
        <w:t>to</w:t>
      </w:r>
      <w:r w:rsidR="00197C90">
        <w:rPr>
          <w:rFonts w:cs="Arial"/>
          <w:szCs w:val="22"/>
        </w:rPr>
        <w:t xml:space="preserve"> view on the council’s website.</w:t>
      </w:r>
    </w:p>
    <w:p w14:paraId="0D887A05" w14:textId="77777777" w:rsidR="001E3F8D" w:rsidRPr="00D12410" w:rsidRDefault="001E3F8D" w:rsidP="008D6739">
      <w:pPr>
        <w:jc w:val="both"/>
        <w:rPr>
          <w:rFonts w:cs="Arial"/>
          <w:iCs/>
          <w:szCs w:val="22"/>
        </w:rPr>
      </w:pPr>
    </w:p>
    <w:p w14:paraId="47BDCB70" w14:textId="77777777" w:rsidR="001E3F8D" w:rsidRPr="00D12410" w:rsidRDefault="001E3F8D" w:rsidP="008D6739">
      <w:r w:rsidRPr="00FF3DCC">
        <w:t xml:space="preserve">The policy was approved at a meeting of the Full Council </w:t>
      </w:r>
      <w:proofErr w:type="gramStart"/>
      <w:r w:rsidRPr="00FF3DCC">
        <w:t xml:space="preserve">on </w:t>
      </w:r>
      <w:r w:rsidR="00796E3A">
        <w:t xml:space="preserve"> 7</w:t>
      </w:r>
      <w:proofErr w:type="gramEnd"/>
      <w:r w:rsidR="00796E3A">
        <w:t xml:space="preserve"> </w:t>
      </w:r>
      <w:r w:rsidR="00796E3A" w:rsidRPr="00796E3A">
        <w:t>December</w:t>
      </w:r>
      <w:r w:rsidR="00051A59">
        <w:t xml:space="preserve"> 2021</w:t>
      </w:r>
      <w:r w:rsidRPr="00FF3DCC">
        <w:t xml:space="preserve"> and published </w:t>
      </w:r>
      <w:r w:rsidR="00DE1DC3" w:rsidRPr="00FF3DCC">
        <w:t>on</w:t>
      </w:r>
      <w:r w:rsidRPr="00FF3DCC">
        <w:t xml:space="preserve"> </w:t>
      </w:r>
      <w:r w:rsidR="00EC5D37">
        <w:t>the council’s</w:t>
      </w:r>
      <w:r w:rsidR="00EC5D37" w:rsidRPr="00FF3DCC">
        <w:t xml:space="preserve"> </w:t>
      </w:r>
      <w:r w:rsidRPr="00FF3DCC">
        <w:t>website</w:t>
      </w:r>
      <w:r w:rsidR="00FF3DCC">
        <w:t xml:space="preserve"> and in the Civic Centre</w:t>
      </w:r>
      <w:r w:rsidR="00FF3DCC" w:rsidRPr="00FF3DCC">
        <w:t xml:space="preserve"> </w:t>
      </w:r>
      <w:r w:rsidRPr="00FF3DCC">
        <w:t xml:space="preserve">on </w:t>
      </w:r>
      <w:r w:rsidR="00A87D4D" w:rsidRPr="00796E3A">
        <w:t>3</w:t>
      </w:r>
      <w:r w:rsidR="00796E3A" w:rsidRPr="00796E3A">
        <w:t xml:space="preserve"> January 2022</w:t>
      </w:r>
      <w:r w:rsidR="0094209B">
        <w:t>.</w:t>
      </w:r>
    </w:p>
    <w:p w14:paraId="57325550" w14:textId="77777777" w:rsidR="001E3F8D" w:rsidRPr="00D12410" w:rsidRDefault="001E3F8D" w:rsidP="008D6739">
      <w:pPr>
        <w:pStyle w:val="BodyText3"/>
        <w:rPr>
          <w:sz w:val="22"/>
        </w:rPr>
      </w:pPr>
    </w:p>
    <w:p w14:paraId="40FFBECC" w14:textId="77777777" w:rsidR="001E3F8D" w:rsidRPr="00D12410" w:rsidRDefault="001E3F8D" w:rsidP="008D6739">
      <w:pPr>
        <w:pStyle w:val="BodyText3"/>
        <w:rPr>
          <w:sz w:val="22"/>
        </w:rPr>
      </w:pPr>
      <w:r w:rsidRPr="00D12410">
        <w:rPr>
          <w:sz w:val="22"/>
        </w:rPr>
        <w:t>This policy statement will not override the right of any person to make an application, make representations about an application, or apply for a review of a licence.  Each application or representation will be considered on its own merits and according to the statutory requirements of the Gambling Act 2005 and the Guidance is</w:t>
      </w:r>
      <w:r w:rsidR="00796E3A">
        <w:rPr>
          <w:sz w:val="22"/>
        </w:rPr>
        <w:t>sued by the Gambling Commission</w:t>
      </w:r>
      <w:r w:rsidRPr="00D12410">
        <w:rPr>
          <w:sz w:val="22"/>
        </w:rPr>
        <w:t xml:space="preserve">.  </w:t>
      </w:r>
    </w:p>
    <w:p w14:paraId="2E475EB1" w14:textId="77777777" w:rsidR="00BE1A32" w:rsidRDefault="00BE1A32" w:rsidP="008D6739">
      <w:pPr>
        <w:pStyle w:val="BodyText3"/>
        <w:rPr>
          <w:sz w:val="22"/>
        </w:rPr>
      </w:pPr>
    </w:p>
    <w:p w14:paraId="79AA1DC3" w14:textId="6DE8B6D2" w:rsidR="00892FBD" w:rsidRPr="00D12410" w:rsidRDefault="00892FBD" w:rsidP="00232005">
      <w:pPr>
        <w:pStyle w:val="Heading2"/>
        <w:numPr>
          <w:ilvl w:val="0"/>
          <w:numId w:val="45"/>
        </w:numPr>
      </w:pPr>
      <w:r w:rsidRPr="00D12410">
        <w:t>Declaration</w:t>
      </w:r>
    </w:p>
    <w:p w14:paraId="0E44C93E" w14:textId="77777777" w:rsidR="00892FBD" w:rsidRPr="00D12410" w:rsidRDefault="00892FBD" w:rsidP="008D6739">
      <w:pPr>
        <w:pStyle w:val="BodyText3"/>
        <w:rPr>
          <w:b/>
          <w:bCs/>
          <w:sz w:val="22"/>
        </w:rPr>
      </w:pPr>
    </w:p>
    <w:p w14:paraId="7FE8FC41" w14:textId="77777777" w:rsidR="00892FBD" w:rsidRPr="00D12410" w:rsidRDefault="00892FBD" w:rsidP="008D6739">
      <w:pPr>
        <w:pStyle w:val="BodyText3"/>
        <w:rPr>
          <w:b/>
          <w:bCs/>
          <w:sz w:val="22"/>
        </w:rPr>
      </w:pPr>
      <w:r w:rsidRPr="00D12410">
        <w:rPr>
          <w:sz w:val="22"/>
        </w:rPr>
        <w:t>In producing this final licensing policy statement, this licensing authority declares that it has had regard to the licensing objectives of the Gambling Act 2005, the Guidance issued by the Gambling Commission and any responses from those consulted on the policy statement.</w:t>
      </w:r>
    </w:p>
    <w:p w14:paraId="28223450" w14:textId="77777777" w:rsidR="001E7640" w:rsidRDefault="001E7640" w:rsidP="008D6739">
      <w:pPr>
        <w:jc w:val="both"/>
        <w:rPr>
          <w:rFonts w:cs="Arial"/>
          <w:szCs w:val="22"/>
        </w:rPr>
      </w:pPr>
    </w:p>
    <w:p w14:paraId="303E185A" w14:textId="5603A7B9" w:rsidR="00195B91" w:rsidRDefault="007A1E8C" w:rsidP="00D20736">
      <w:pPr>
        <w:pStyle w:val="Heading2"/>
        <w:numPr>
          <w:ilvl w:val="0"/>
          <w:numId w:val="45"/>
        </w:numPr>
      </w:pPr>
      <w:r>
        <w:t>The Borough of Gravesham</w:t>
      </w:r>
    </w:p>
    <w:p w14:paraId="59390A7D" w14:textId="77777777" w:rsidR="007A1E8C" w:rsidRDefault="007A1E8C" w:rsidP="008D6739">
      <w:pPr>
        <w:pStyle w:val="Default"/>
        <w:rPr>
          <w:b/>
          <w:bCs/>
          <w:color w:val="auto"/>
          <w:sz w:val="22"/>
          <w:szCs w:val="22"/>
        </w:rPr>
      </w:pPr>
    </w:p>
    <w:p w14:paraId="7C54366C" w14:textId="77777777" w:rsidR="00DF74E6" w:rsidRPr="003D26F1" w:rsidRDefault="003D26F1" w:rsidP="008D6739">
      <w:pPr>
        <w:pStyle w:val="Default"/>
        <w:rPr>
          <w:bCs/>
          <w:color w:val="auto"/>
          <w:sz w:val="22"/>
          <w:szCs w:val="22"/>
        </w:rPr>
      </w:pPr>
      <w:r w:rsidRPr="003D26F1">
        <w:rPr>
          <w:bCs/>
          <w:color w:val="auto"/>
          <w:sz w:val="22"/>
          <w:szCs w:val="22"/>
        </w:rPr>
        <w:t xml:space="preserve">Gravesham Borough Council maintains a </w:t>
      </w:r>
      <w:hyperlink r:id="rId11" w:history="1">
        <w:r w:rsidRPr="003D26F1">
          <w:rPr>
            <w:rStyle w:val="Hyperlink"/>
            <w:bCs/>
            <w:sz w:val="22"/>
            <w:szCs w:val="22"/>
          </w:rPr>
          <w:t>Community Profile</w:t>
        </w:r>
      </w:hyperlink>
      <w:r>
        <w:rPr>
          <w:bCs/>
          <w:color w:val="auto"/>
          <w:sz w:val="22"/>
          <w:szCs w:val="22"/>
        </w:rPr>
        <w:t xml:space="preserve"> on its website.</w:t>
      </w:r>
    </w:p>
    <w:p w14:paraId="45B8C558" w14:textId="77777777" w:rsidR="003D26F1" w:rsidRPr="003D26F1" w:rsidRDefault="003D26F1" w:rsidP="008D6739">
      <w:pPr>
        <w:pStyle w:val="Default"/>
        <w:rPr>
          <w:bCs/>
          <w:color w:val="auto"/>
          <w:sz w:val="22"/>
          <w:szCs w:val="22"/>
        </w:rPr>
      </w:pPr>
    </w:p>
    <w:p w14:paraId="5C77A166" w14:textId="77777777" w:rsidR="003D26F1" w:rsidRPr="003D26F1" w:rsidRDefault="003D26F1" w:rsidP="008D6739">
      <w:pPr>
        <w:pStyle w:val="Default"/>
        <w:rPr>
          <w:bCs/>
          <w:color w:val="auto"/>
          <w:sz w:val="22"/>
          <w:szCs w:val="22"/>
        </w:rPr>
      </w:pPr>
      <w:r w:rsidRPr="003D26F1">
        <w:rPr>
          <w:bCs/>
          <w:color w:val="auto"/>
          <w:sz w:val="22"/>
          <w:szCs w:val="22"/>
        </w:rPr>
        <w:t>The Gravesham Community Profile is a resource for users to explore key statistical information about the borough and its community.</w:t>
      </w:r>
    </w:p>
    <w:p w14:paraId="7477BD7D" w14:textId="77777777" w:rsidR="003D26F1" w:rsidRPr="003D26F1" w:rsidRDefault="003D26F1" w:rsidP="008D6739">
      <w:pPr>
        <w:pStyle w:val="Default"/>
        <w:rPr>
          <w:bCs/>
          <w:color w:val="auto"/>
          <w:sz w:val="22"/>
          <w:szCs w:val="22"/>
        </w:rPr>
      </w:pPr>
    </w:p>
    <w:p w14:paraId="30AD52C8" w14:textId="77777777" w:rsidR="003D26F1" w:rsidRPr="003D26F1" w:rsidRDefault="003D26F1" w:rsidP="008D6739">
      <w:pPr>
        <w:pStyle w:val="Default"/>
        <w:rPr>
          <w:bCs/>
          <w:color w:val="auto"/>
          <w:sz w:val="22"/>
          <w:szCs w:val="22"/>
        </w:rPr>
      </w:pPr>
      <w:r w:rsidRPr="003D26F1">
        <w:rPr>
          <w:bCs/>
          <w:color w:val="auto"/>
          <w:sz w:val="22"/>
          <w:szCs w:val="22"/>
        </w:rPr>
        <w:t>The findings from this data help us understand the type and scale of local community need. That knowledge forms part of the evidence base with which to design our Corporate Plan, and associated policies, and enables us to make fully informed decisions when planning effective service interventions.</w:t>
      </w:r>
    </w:p>
    <w:p w14:paraId="2DEFE30A" w14:textId="77777777" w:rsidR="003D26F1" w:rsidRPr="003D26F1" w:rsidRDefault="003D26F1" w:rsidP="008D6739">
      <w:pPr>
        <w:pStyle w:val="Default"/>
        <w:rPr>
          <w:bCs/>
          <w:color w:val="auto"/>
          <w:sz w:val="22"/>
          <w:szCs w:val="22"/>
        </w:rPr>
      </w:pPr>
      <w:r w:rsidRPr="003D26F1">
        <w:rPr>
          <w:bCs/>
          <w:color w:val="auto"/>
          <w:sz w:val="22"/>
          <w:szCs w:val="22"/>
        </w:rPr>
        <w:lastRenderedPageBreak/>
        <w:t>Profiling is a continuous process as the council seeks to identify any emerging trends within the community. The information outlined in these pages will therefore be reviewed on a regular basis to ensure the latest and most accurate data is captured for analysis and service planning.</w:t>
      </w:r>
    </w:p>
    <w:p w14:paraId="66E5B44C" w14:textId="77777777" w:rsidR="003D26F1" w:rsidRPr="003D26F1" w:rsidRDefault="003D26F1" w:rsidP="008D6739">
      <w:pPr>
        <w:pStyle w:val="Default"/>
        <w:rPr>
          <w:b/>
          <w:bCs/>
          <w:color w:val="auto"/>
          <w:sz w:val="22"/>
          <w:szCs w:val="22"/>
        </w:rPr>
      </w:pPr>
    </w:p>
    <w:p w14:paraId="1542B442" w14:textId="77777777" w:rsidR="003D26F1" w:rsidRPr="003D26F1" w:rsidRDefault="003D26F1" w:rsidP="008D6739">
      <w:pPr>
        <w:pStyle w:val="Default"/>
        <w:rPr>
          <w:bCs/>
          <w:color w:val="auto"/>
          <w:sz w:val="22"/>
          <w:szCs w:val="22"/>
        </w:rPr>
      </w:pPr>
      <w:r w:rsidRPr="003D26F1">
        <w:rPr>
          <w:bCs/>
          <w:color w:val="auto"/>
          <w:sz w:val="22"/>
          <w:szCs w:val="22"/>
        </w:rPr>
        <w:t xml:space="preserve">For more information please </w:t>
      </w:r>
      <w:hyperlink r:id="rId12" w:history="1">
        <w:r w:rsidRPr="003D26F1">
          <w:rPr>
            <w:rStyle w:val="Hyperlink"/>
            <w:bCs/>
            <w:sz w:val="22"/>
            <w:szCs w:val="22"/>
          </w:rPr>
          <w:t>visit our website</w:t>
        </w:r>
      </w:hyperlink>
      <w:r>
        <w:rPr>
          <w:bCs/>
          <w:color w:val="auto"/>
          <w:sz w:val="22"/>
          <w:szCs w:val="22"/>
        </w:rPr>
        <w:t xml:space="preserve"> or </w:t>
      </w:r>
      <w:r w:rsidRPr="003D26F1">
        <w:rPr>
          <w:bCs/>
          <w:color w:val="auto"/>
          <w:sz w:val="22"/>
          <w:szCs w:val="22"/>
        </w:rPr>
        <w:t xml:space="preserve">view the full </w:t>
      </w:r>
      <w:hyperlink r:id="rId13" w:history="1">
        <w:r w:rsidRPr="003D26F1">
          <w:rPr>
            <w:rStyle w:val="Hyperlink"/>
            <w:bCs/>
            <w:sz w:val="22"/>
            <w:szCs w:val="22"/>
          </w:rPr>
          <w:t>Community Profile</w:t>
        </w:r>
      </w:hyperlink>
      <w:r w:rsidRPr="003D26F1">
        <w:rPr>
          <w:bCs/>
          <w:color w:val="auto"/>
          <w:sz w:val="22"/>
          <w:szCs w:val="22"/>
        </w:rPr>
        <w:t xml:space="preserve"> document.</w:t>
      </w:r>
    </w:p>
    <w:p w14:paraId="3B0A09FD" w14:textId="77777777" w:rsidR="003D26F1" w:rsidRDefault="003D26F1" w:rsidP="008D6739">
      <w:pPr>
        <w:pStyle w:val="Default"/>
        <w:rPr>
          <w:b/>
          <w:bCs/>
          <w:color w:val="auto"/>
          <w:sz w:val="22"/>
          <w:szCs w:val="22"/>
        </w:rPr>
      </w:pPr>
    </w:p>
    <w:p w14:paraId="0037DDBF" w14:textId="0B9C3FA9" w:rsidR="00DF74E6" w:rsidRDefault="00BB5E9E" w:rsidP="00D20736">
      <w:pPr>
        <w:pStyle w:val="Heading2"/>
        <w:numPr>
          <w:ilvl w:val="0"/>
          <w:numId w:val="45"/>
        </w:numPr>
      </w:pPr>
      <w:r w:rsidRPr="00006703">
        <w:t xml:space="preserve">Operators and Local Risk Assessments </w:t>
      </w:r>
    </w:p>
    <w:p w14:paraId="7A428C33" w14:textId="77777777" w:rsidR="00BB5E9E" w:rsidRPr="00006703" w:rsidRDefault="00BB5E9E" w:rsidP="008D6739">
      <w:pPr>
        <w:pStyle w:val="Default"/>
        <w:rPr>
          <w:b/>
          <w:bCs/>
          <w:color w:val="auto"/>
          <w:sz w:val="22"/>
          <w:szCs w:val="22"/>
        </w:rPr>
      </w:pPr>
    </w:p>
    <w:p w14:paraId="660979FC" w14:textId="77777777" w:rsidR="00BB5E9E" w:rsidRPr="00006703" w:rsidRDefault="00BB5E9E" w:rsidP="008D6739">
      <w:pPr>
        <w:pStyle w:val="Default"/>
        <w:rPr>
          <w:color w:val="auto"/>
          <w:sz w:val="22"/>
          <w:szCs w:val="22"/>
        </w:rPr>
      </w:pPr>
      <w:r w:rsidRPr="00006703">
        <w:rPr>
          <w:color w:val="auto"/>
          <w:sz w:val="22"/>
          <w:szCs w:val="22"/>
        </w:rPr>
        <w:t xml:space="preserve">Gambling businesses are required to have an operator licence issued by the Gambling Commission before they can operate in Great Britain. </w:t>
      </w:r>
    </w:p>
    <w:p w14:paraId="1499B1B5" w14:textId="77777777" w:rsidR="00BB5E9E" w:rsidRPr="00006703" w:rsidRDefault="00BB5E9E" w:rsidP="008D6739">
      <w:pPr>
        <w:pStyle w:val="Default"/>
        <w:rPr>
          <w:color w:val="auto"/>
          <w:sz w:val="22"/>
          <w:szCs w:val="22"/>
        </w:rPr>
      </w:pPr>
    </w:p>
    <w:p w14:paraId="67433B94" w14:textId="77777777" w:rsidR="00BB5E9E" w:rsidRPr="00006703" w:rsidRDefault="00BB5E9E" w:rsidP="008D6739">
      <w:pPr>
        <w:pStyle w:val="Default"/>
        <w:rPr>
          <w:color w:val="auto"/>
          <w:sz w:val="22"/>
          <w:szCs w:val="22"/>
        </w:rPr>
      </w:pPr>
      <w:r w:rsidRPr="00006703">
        <w:rPr>
          <w:color w:val="auto"/>
          <w:sz w:val="22"/>
          <w:szCs w:val="22"/>
        </w:rPr>
        <w:t xml:space="preserve">An operator licence gives a general authorisation for a business to provide gambling facilities, but a business wishing to provide non-remote gambling facilities in a licensing authority area is required to apply for a premises licence that is specific to those </w:t>
      </w:r>
      <w:proofErr w:type="gramStart"/>
      <w:r w:rsidRPr="00006703">
        <w:rPr>
          <w:color w:val="auto"/>
          <w:sz w:val="22"/>
          <w:szCs w:val="22"/>
        </w:rPr>
        <w:t>particular premises</w:t>
      </w:r>
      <w:proofErr w:type="gramEnd"/>
      <w:r w:rsidRPr="00006703">
        <w:rPr>
          <w:color w:val="auto"/>
          <w:sz w:val="22"/>
          <w:szCs w:val="22"/>
        </w:rPr>
        <w:t xml:space="preserve">. </w:t>
      </w:r>
    </w:p>
    <w:p w14:paraId="195179E7" w14:textId="77777777" w:rsidR="00BB5E9E" w:rsidRPr="00006703" w:rsidRDefault="00BB5E9E" w:rsidP="008D6739">
      <w:pPr>
        <w:pStyle w:val="Default"/>
        <w:rPr>
          <w:color w:val="auto"/>
          <w:sz w:val="22"/>
          <w:szCs w:val="22"/>
        </w:rPr>
      </w:pPr>
    </w:p>
    <w:p w14:paraId="65BE644A" w14:textId="77777777" w:rsidR="00BB5E9E" w:rsidRPr="00006703" w:rsidRDefault="00BB5E9E" w:rsidP="008D6739">
      <w:pPr>
        <w:pStyle w:val="Default"/>
        <w:rPr>
          <w:color w:val="auto"/>
          <w:sz w:val="22"/>
          <w:szCs w:val="22"/>
        </w:rPr>
      </w:pPr>
      <w:r w:rsidRPr="00006703">
        <w:rPr>
          <w:color w:val="auto"/>
          <w:sz w:val="22"/>
          <w:szCs w:val="22"/>
        </w:rPr>
        <w:t xml:space="preserve">All operators are required to comply with conditions attached to both their operator and individual premises licences, and </w:t>
      </w:r>
      <w:r>
        <w:rPr>
          <w:color w:val="auto"/>
          <w:sz w:val="22"/>
          <w:szCs w:val="22"/>
        </w:rPr>
        <w:t>with the</w:t>
      </w:r>
      <w:r w:rsidRPr="00006703">
        <w:rPr>
          <w:color w:val="auto"/>
          <w:sz w:val="22"/>
          <w:szCs w:val="22"/>
        </w:rPr>
        <w:t xml:space="preserve"> </w:t>
      </w:r>
      <w:r>
        <w:rPr>
          <w:color w:val="auto"/>
          <w:sz w:val="22"/>
          <w:szCs w:val="22"/>
        </w:rPr>
        <w:t xml:space="preserve">Commission’s </w:t>
      </w:r>
      <w:r w:rsidR="00796E3A">
        <w:rPr>
          <w:color w:val="auto"/>
          <w:sz w:val="22"/>
          <w:szCs w:val="22"/>
        </w:rPr>
        <w:t>social responsibility</w:t>
      </w:r>
      <w:r w:rsidRPr="00006703">
        <w:rPr>
          <w:color w:val="auto"/>
          <w:sz w:val="22"/>
          <w:szCs w:val="22"/>
        </w:rPr>
        <w:t xml:space="preserve"> code of practice provisions, which have the force of licence conditions.</w:t>
      </w:r>
    </w:p>
    <w:p w14:paraId="541A4EC3" w14:textId="77777777" w:rsidR="00BB5E9E" w:rsidRPr="00006703" w:rsidRDefault="00BB5E9E" w:rsidP="008D6739">
      <w:pPr>
        <w:pStyle w:val="Default"/>
        <w:rPr>
          <w:color w:val="auto"/>
          <w:sz w:val="22"/>
          <w:szCs w:val="22"/>
        </w:rPr>
      </w:pPr>
    </w:p>
    <w:p w14:paraId="104C6D8D" w14:textId="77777777" w:rsidR="00BB5E9E" w:rsidRPr="00006703" w:rsidRDefault="00BB5E9E" w:rsidP="008D6739">
      <w:pPr>
        <w:pStyle w:val="Default"/>
        <w:rPr>
          <w:color w:val="auto"/>
          <w:sz w:val="22"/>
          <w:szCs w:val="22"/>
        </w:rPr>
      </w:pPr>
      <w:r w:rsidRPr="00006703">
        <w:rPr>
          <w:color w:val="auto"/>
          <w:sz w:val="22"/>
          <w:szCs w:val="22"/>
        </w:rPr>
        <w:t>They are also expect</w:t>
      </w:r>
      <w:r w:rsidR="00796E3A">
        <w:rPr>
          <w:color w:val="auto"/>
          <w:sz w:val="22"/>
          <w:szCs w:val="22"/>
        </w:rPr>
        <w:t>ed to comply with ordinary code</w:t>
      </w:r>
      <w:r w:rsidRPr="00006703">
        <w:rPr>
          <w:color w:val="auto"/>
          <w:sz w:val="22"/>
          <w:szCs w:val="22"/>
        </w:rPr>
        <w:t xml:space="preserve"> provisions, which are intended to set out best industry practice, unless they have alternative arrangements in place that they can demonstrate are equally effective.  </w:t>
      </w:r>
      <w:r w:rsidR="00796E3A">
        <w:rPr>
          <w:color w:val="auto"/>
          <w:sz w:val="22"/>
          <w:szCs w:val="22"/>
        </w:rPr>
        <w:t>Ordinary code</w:t>
      </w:r>
      <w:r w:rsidRPr="00006703">
        <w:rPr>
          <w:color w:val="auto"/>
          <w:sz w:val="22"/>
          <w:szCs w:val="22"/>
        </w:rPr>
        <w:t xml:space="preserve"> provisions do not have the status of licence conditions but failure to take account of them can be used as evidence in criminal or civil proceedings.</w:t>
      </w:r>
    </w:p>
    <w:p w14:paraId="5F13847A" w14:textId="77777777" w:rsidR="00BB5E9E" w:rsidRPr="00006703" w:rsidRDefault="00BB5E9E" w:rsidP="008D6739">
      <w:pPr>
        <w:pStyle w:val="Default"/>
        <w:rPr>
          <w:color w:val="auto"/>
          <w:sz w:val="22"/>
          <w:szCs w:val="22"/>
        </w:rPr>
      </w:pPr>
    </w:p>
    <w:p w14:paraId="0ACE1663" w14:textId="77777777" w:rsidR="003C1BCA" w:rsidRDefault="00BB5E9E" w:rsidP="008D6739">
      <w:pPr>
        <w:pStyle w:val="Default"/>
        <w:rPr>
          <w:color w:val="auto"/>
          <w:sz w:val="22"/>
          <w:szCs w:val="22"/>
        </w:rPr>
      </w:pPr>
      <w:r w:rsidRPr="00006703">
        <w:rPr>
          <w:color w:val="auto"/>
          <w:sz w:val="22"/>
          <w:szCs w:val="22"/>
        </w:rPr>
        <w:t>The Licence C</w:t>
      </w:r>
      <w:r w:rsidR="00796E3A">
        <w:rPr>
          <w:color w:val="auto"/>
          <w:sz w:val="22"/>
          <w:szCs w:val="22"/>
        </w:rPr>
        <w:t>onditions and Codes of Practice</w:t>
      </w:r>
      <w:r w:rsidRPr="00006703">
        <w:rPr>
          <w:color w:val="auto"/>
          <w:sz w:val="22"/>
          <w:szCs w:val="22"/>
        </w:rPr>
        <w:t xml:space="preserve"> sets out the Gambling Commission’s general licence conditions and associated code of practice provisions</w:t>
      </w:r>
      <w:r w:rsidR="002C60EA">
        <w:rPr>
          <w:color w:val="auto"/>
          <w:sz w:val="22"/>
          <w:szCs w:val="22"/>
        </w:rPr>
        <w:t>.</w:t>
      </w:r>
      <w:r w:rsidRPr="00006703">
        <w:rPr>
          <w:color w:val="auto"/>
          <w:sz w:val="22"/>
          <w:szCs w:val="22"/>
        </w:rPr>
        <w:t xml:space="preserve"> </w:t>
      </w:r>
    </w:p>
    <w:p w14:paraId="1F3D942E" w14:textId="77777777" w:rsidR="003C1BCA" w:rsidRDefault="003C1BCA" w:rsidP="008D6739">
      <w:pPr>
        <w:pStyle w:val="Default"/>
        <w:rPr>
          <w:color w:val="auto"/>
          <w:sz w:val="22"/>
          <w:szCs w:val="22"/>
        </w:rPr>
      </w:pPr>
    </w:p>
    <w:p w14:paraId="186A75BD" w14:textId="77777777" w:rsidR="00BB5E9E" w:rsidRPr="00006703" w:rsidRDefault="002C60EA" w:rsidP="008D6739">
      <w:pPr>
        <w:pStyle w:val="Default"/>
        <w:rPr>
          <w:color w:val="auto"/>
          <w:sz w:val="22"/>
          <w:szCs w:val="22"/>
        </w:rPr>
      </w:pPr>
      <w:r>
        <w:rPr>
          <w:color w:val="auto"/>
          <w:sz w:val="22"/>
          <w:szCs w:val="22"/>
        </w:rPr>
        <w:t>In April 2015,</w:t>
      </w:r>
      <w:r w:rsidRPr="00006703">
        <w:rPr>
          <w:color w:val="auto"/>
          <w:sz w:val="22"/>
          <w:szCs w:val="22"/>
        </w:rPr>
        <w:t xml:space="preserve"> </w:t>
      </w:r>
      <w:r w:rsidR="00BB5E9E" w:rsidRPr="00006703">
        <w:rPr>
          <w:color w:val="auto"/>
          <w:sz w:val="22"/>
          <w:szCs w:val="22"/>
        </w:rPr>
        <w:t>significant new responsibilities for operators</w:t>
      </w:r>
      <w:r>
        <w:rPr>
          <w:color w:val="auto"/>
          <w:sz w:val="22"/>
          <w:szCs w:val="22"/>
        </w:rPr>
        <w:t xml:space="preserve"> were introduced</w:t>
      </w:r>
      <w:r w:rsidR="00BB5E9E" w:rsidRPr="00006703">
        <w:rPr>
          <w:color w:val="auto"/>
          <w:sz w:val="22"/>
          <w:szCs w:val="22"/>
        </w:rPr>
        <w:t xml:space="preserve"> in relation to their local premises which aim to improve the exchange of information between licensing authorities and operators:</w:t>
      </w:r>
    </w:p>
    <w:p w14:paraId="4733A302" w14:textId="77777777" w:rsidR="00BB5E9E" w:rsidRPr="00006703" w:rsidRDefault="00BB5E9E" w:rsidP="008D6739">
      <w:pPr>
        <w:pStyle w:val="Default"/>
        <w:rPr>
          <w:color w:val="auto"/>
          <w:sz w:val="22"/>
          <w:szCs w:val="22"/>
        </w:rPr>
      </w:pPr>
    </w:p>
    <w:p w14:paraId="23016B48" w14:textId="77777777" w:rsidR="00BB5E9E" w:rsidRPr="00006703" w:rsidRDefault="00BB5E9E" w:rsidP="008D6739">
      <w:pPr>
        <w:pStyle w:val="Default"/>
        <w:numPr>
          <w:ilvl w:val="0"/>
          <w:numId w:val="12"/>
        </w:numPr>
        <w:ind w:left="426" w:hanging="426"/>
        <w:rPr>
          <w:b/>
          <w:bCs/>
          <w:sz w:val="22"/>
          <w:szCs w:val="22"/>
        </w:rPr>
      </w:pPr>
      <w:r w:rsidRPr="00006703">
        <w:rPr>
          <w:color w:val="auto"/>
          <w:sz w:val="22"/>
          <w:szCs w:val="22"/>
        </w:rPr>
        <w:t xml:space="preserve">Social Responsibility code 10.1.1 requires operators of premises-based businesses to </w:t>
      </w:r>
      <w:r w:rsidRPr="00006703">
        <w:rPr>
          <w:sz w:val="22"/>
          <w:szCs w:val="22"/>
        </w:rPr>
        <w:t xml:space="preserve">assess the local risks to the licensing objectives posed by the provision of gambling facilities at each of their premises, and have policies, </w:t>
      </w:r>
      <w:proofErr w:type="gramStart"/>
      <w:r w:rsidRPr="00006703">
        <w:rPr>
          <w:sz w:val="22"/>
          <w:szCs w:val="22"/>
        </w:rPr>
        <w:t>procedures</w:t>
      </w:r>
      <w:proofErr w:type="gramEnd"/>
      <w:r w:rsidRPr="00006703">
        <w:rPr>
          <w:sz w:val="22"/>
          <w:szCs w:val="22"/>
        </w:rPr>
        <w:t xml:space="preserve"> and control measures to mitigate those risks; taking into account relevant matters identified in the licensing authority’s statement of licensing policy</w:t>
      </w:r>
      <w:r w:rsidR="003C1BCA">
        <w:rPr>
          <w:bCs/>
          <w:sz w:val="22"/>
          <w:szCs w:val="22"/>
        </w:rPr>
        <w:t>;</w:t>
      </w:r>
      <w:r w:rsidRPr="00006703">
        <w:rPr>
          <w:bCs/>
          <w:sz w:val="22"/>
          <w:szCs w:val="22"/>
        </w:rPr>
        <w:t xml:space="preserve"> and</w:t>
      </w:r>
    </w:p>
    <w:p w14:paraId="087D5DAF" w14:textId="77777777" w:rsidR="00BB5E9E" w:rsidRPr="00006703" w:rsidRDefault="00BB5E9E" w:rsidP="008D6739">
      <w:pPr>
        <w:pStyle w:val="Default"/>
        <w:ind w:left="720"/>
        <w:rPr>
          <w:b/>
          <w:bCs/>
          <w:sz w:val="22"/>
          <w:szCs w:val="22"/>
        </w:rPr>
      </w:pPr>
    </w:p>
    <w:p w14:paraId="4C7FC2B6" w14:textId="77777777" w:rsidR="00BB5E9E" w:rsidRPr="00006703" w:rsidRDefault="003C1BCA" w:rsidP="008D6739">
      <w:pPr>
        <w:pStyle w:val="Default"/>
        <w:numPr>
          <w:ilvl w:val="0"/>
          <w:numId w:val="12"/>
        </w:numPr>
        <w:ind w:left="426" w:hanging="426"/>
        <w:rPr>
          <w:color w:val="auto"/>
          <w:sz w:val="22"/>
          <w:szCs w:val="22"/>
        </w:rPr>
      </w:pPr>
      <w:r>
        <w:rPr>
          <w:color w:val="auto"/>
          <w:sz w:val="22"/>
          <w:szCs w:val="22"/>
        </w:rPr>
        <w:t>Ordinary Code 10.1.2</w:t>
      </w:r>
      <w:r w:rsidR="00BB5E9E" w:rsidRPr="00006703">
        <w:rPr>
          <w:color w:val="auto"/>
          <w:sz w:val="22"/>
          <w:szCs w:val="22"/>
        </w:rPr>
        <w:t xml:space="preserve"> states that licensees </w:t>
      </w:r>
      <w:r w:rsidR="00BB5E9E" w:rsidRPr="00006703">
        <w:rPr>
          <w:sz w:val="22"/>
          <w:szCs w:val="22"/>
        </w:rPr>
        <w:t>should share their risk assessments with licensing authorities when applying for a premises licence or applying for a variation to existing licensed premises, or otherwise on request</w:t>
      </w:r>
      <w:r w:rsidR="00BB5E9E">
        <w:rPr>
          <w:sz w:val="22"/>
          <w:szCs w:val="22"/>
        </w:rPr>
        <w:t>.</w:t>
      </w:r>
      <w:r w:rsidR="00BB5E9E" w:rsidRPr="00006703">
        <w:rPr>
          <w:color w:val="auto"/>
          <w:sz w:val="22"/>
          <w:szCs w:val="22"/>
        </w:rPr>
        <w:t xml:space="preserve"> </w:t>
      </w:r>
    </w:p>
    <w:p w14:paraId="5C5DAC89" w14:textId="77777777" w:rsidR="00BB5E9E" w:rsidRPr="00006703" w:rsidRDefault="00BB5E9E" w:rsidP="008D6739">
      <w:pPr>
        <w:pStyle w:val="Default"/>
        <w:rPr>
          <w:sz w:val="22"/>
          <w:szCs w:val="22"/>
        </w:rPr>
      </w:pPr>
    </w:p>
    <w:p w14:paraId="10B0FD9B" w14:textId="77777777" w:rsidR="00BB5E9E" w:rsidRPr="00006703" w:rsidRDefault="00BB5E9E" w:rsidP="008D6739">
      <w:pPr>
        <w:pStyle w:val="Default"/>
        <w:rPr>
          <w:sz w:val="22"/>
          <w:szCs w:val="22"/>
        </w:rPr>
      </w:pPr>
      <w:r w:rsidRPr="00006703">
        <w:rPr>
          <w:sz w:val="22"/>
          <w:szCs w:val="22"/>
        </w:rPr>
        <w:t xml:space="preserve">As part of their requirements under </w:t>
      </w:r>
      <w:r w:rsidR="00796E3A">
        <w:rPr>
          <w:sz w:val="22"/>
          <w:szCs w:val="22"/>
        </w:rPr>
        <w:t>social responsibility</w:t>
      </w:r>
      <w:r w:rsidRPr="00006703">
        <w:rPr>
          <w:sz w:val="22"/>
          <w:szCs w:val="22"/>
        </w:rPr>
        <w:t xml:space="preserve"> code provision 10.1.1, operators must review (and update as necessary) their local risk assessments: </w:t>
      </w:r>
    </w:p>
    <w:p w14:paraId="70FDE41E" w14:textId="77777777" w:rsidR="00BB5E9E" w:rsidRPr="00006703" w:rsidRDefault="00BB5E9E" w:rsidP="008D6739">
      <w:pPr>
        <w:pStyle w:val="Default"/>
        <w:ind w:left="720" w:hanging="720"/>
        <w:rPr>
          <w:color w:val="auto"/>
          <w:sz w:val="22"/>
          <w:szCs w:val="22"/>
        </w:rPr>
      </w:pPr>
    </w:p>
    <w:p w14:paraId="572557AC" w14:textId="77777777" w:rsidR="00BB5E9E" w:rsidRPr="00006703" w:rsidRDefault="00BB5E9E" w:rsidP="008D6739">
      <w:pPr>
        <w:pStyle w:val="Default"/>
        <w:numPr>
          <w:ilvl w:val="0"/>
          <w:numId w:val="11"/>
        </w:numPr>
        <w:rPr>
          <w:sz w:val="22"/>
          <w:szCs w:val="22"/>
        </w:rPr>
      </w:pPr>
      <w:r w:rsidRPr="00006703">
        <w:rPr>
          <w:sz w:val="22"/>
          <w:szCs w:val="22"/>
        </w:rPr>
        <w:t xml:space="preserve">to take account of significant changes in local circumstances, including those identified in a licensing authority’s statement of licensing </w:t>
      </w:r>
      <w:proofErr w:type="gramStart"/>
      <w:r w:rsidRPr="00006703">
        <w:rPr>
          <w:sz w:val="22"/>
          <w:szCs w:val="22"/>
        </w:rPr>
        <w:t>policy;</w:t>
      </w:r>
      <w:proofErr w:type="gramEnd"/>
      <w:r w:rsidRPr="00006703">
        <w:rPr>
          <w:sz w:val="22"/>
          <w:szCs w:val="22"/>
        </w:rPr>
        <w:t xml:space="preserve"> </w:t>
      </w:r>
    </w:p>
    <w:p w14:paraId="4EA1363A" w14:textId="77777777" w:rsidR="00BB5E9E" w:rsidRPr="00006703" w:rsidRDefault="00BB5E9E" w:rsidP="008D6739">
      <w:pPr>
        <w:pStyle w:val="Default"/>
        <w:numPr>
          <w:ilvl w:val="0"/>
          <w:numId w:val="11"/>
        </w:numPr>
        <w:ind w:left="709"/>
        <w:rPr>
          <w:sz w:val="22"/>
          <w:szCs w:val="22"/>
        </w:rPr>
      </w:pPr>
      <w:r w:rsidRPr="00006703">
        <w:rPr>
          <w:sz w:val="22"/>
          <w:szCs w:val="22"/>
        </w:rPr>
        <w:t xml:space="preserve">when there are significant changes at a licensee’s premises that may affect their mitigation of local </w:t>
      </w:r>
      <w:proofErr w:type="gramStart"/>
      <w:r w:rsidRPr="00006703">
        <w:rPr>
          <w:sz w:val="22"/>
          <w:szCs w:val="22"/>
        </w:rPr>
        <w:t>risks;</w:t>
      </w:r>
      <w:proofErr w:type="gramEnd"/>
      <w:r w:rsidRPr="00006703">
        <w:rPr>
          <w:sz w:val="22"/>
          <w:szCs w:val="22"/>
        </w:rPr>
        <w:t xml:space="preserve"> </w:t>
      </w:r>
    </w:p>
    <w:p w14:paraId="19AA399F" w14:textId="77777777" w:rsidR="00BB5E9E" w:rsidRPr="00006703" w:rsidRDefault="00BB5E9E" w:rsidP="008D6739">
      <w:pPr>
        <w:pStyle w:val="Default"/>
        <w:numPr>
          <w:ilvl w:val="0"/>
          <w:numId w:val="11"/>
        </w:numPr>
        <w:ind w:left="709"/>
        <w:rPr>
          <w:sz w:val="22"/>
          <w:szCs w:val="22"/>
        </w:rPr>
      </w:pPr>
      <w:r w:rsidRPr="00006703">
        <w:rPr>
          <w:sz w:val="22"/>
          <w:szCs w:val="22"/>
        </w:rPr>
        <w:lastRenderedPageBreak/>
        <w:t xml:space="preserve">when applying for a variation of a premises licence; and </w:t>
      </w:r>
    </w:p>
    <w:p w14:paraId="3271477A" w14:textId="77777777" w:rsidR="00BB5E9E" w:rsidRPr="00006703" w:rsidRDefault="00BB5E9E" w:rsidP="008D6739">
      <w:pPr>
        <w:pStyle w:val="Default"/>
        <w:numPr>
          <w:ilvl w:val="0"/>
          <w:numId w:val="11"/>
        </w:numPr>
        <w:ind w:left="709"/>
        <w:rPr>
          <w:sz w:val="22"/>
          <w:szCs w:val="22"/>
        </w:rPr>
      </w:pPr>
      <w:r w:rsidRPr="00006703">
        <w:rPr>
          <w:sz w:val="22"/>
          <w:szCs w:val="22"/>
        </w:rPr>
        <w:t xml:space="preserve">in any case, undertake a local risk assessment when applying for a new premises licence. </w:t>
      </w:r>
    </w:p>
    <w:p w14:paraId="3ECFEE6F" w14:textId="77777777" w:rsidR="00BB5E9E" w:rsidRPr="00006703" w:rsidRDefault="00BB5E9E" w:rsidP="008D6739">
      <w:pPr>
        <w:pStyle w:val="Default"/>
        <w:ind w:hanging="11"/>
        <w:rPr>
          <w:color w:val="auto"/>
          <w:sz w:val="22"/>
          <w:szCs w:val="22"/>
        </w:rPr>
      </w:pPr>
    </w:p>
    <w:p w14:paraId="49FAED5E" w14:textId="77777777" w:rsidR="00BB5E9E" w:rsidRDefault="00BB5E9E" w:rsidP="008D6739">
      <w:pPr>
        <w:pStyle w:val="Default"/>
        <w:ind w:hanging="11"/>
        <w:rPr>
          <w:color w:val="auto"/>
          <w:sz w:val="22"/>
          <w:szCs w:val="22"/>
        </w:rPr>
      </w:pPr>
      <w:proofErr w:type="gramStart"/>
      <w:r w:rsidRPr="00006703">
        <w:rPr>
          <w:color w:val="auto"/>
          <w:sz w:val="22"/>
          <w:szCs w:val="22"/>
        </w:rPr>
        <w:t>Both of these</w:t>
      </w:r>
      <w:proofErr w:type="gramEnd"/>
      <w:r w:rsidRPr="00006703">
        <w:rPr>
          <w:color w:val="auto"/>
          <w:sz w:val="22"/>
          <w:szCs w:val="22"/>
        </w:rPr>
        <w:t xml:space="preserve"> provisions </w:t>
      </w:r>
      <w:r w:rsidR="00796E3A" w:rsidRPr="00796E3A">
        <w:rPr>
          <w:color w:val="auto"/>
          <w:sz w:val="22"/>
          <w:szCs w:val="22"/>
        </w:rPr>
        <w:t>(social responsibility code</w:t>
      </w:r>
      <w:r w:rsidR="00796E3A">
        <w:rPr>
          <w:color w:val="auto"/>
          <w:sz w:val="22"/>
          <w:szCs w:val="22"/>
        </w:rPr>
        <w:t xml:space="preserve"> 10.1.1 and o</w:t>
      </w:r>
      <w:r w:rsidR="00796E3A" w:rsidRPr="00796E3A">
        <w:rPr>
          <w:color w:val="auto"/>
          <w:sz w:val="22"/>
          <w:szCs w:val="22"/>
        </w:rPr>
        <w:t xml:space="preserve">rdinary </w:t>
      </w:r>
      <w:r w:rsidR="00796E3A">
        <w:rPr>
          <w:color w:val="auto"/>
          <w:sz w:val="22"/>
          <w:szCs w:val="22"/>
        </w:rPr>
        <w:t>c</w:t>
      </w:r>
      <w:r w:rsidR="00796E3A" w:rsidRPr="00796E3A">
        <w:rPr>
          <w:color w:val="auto"/>
          <w:sz w:val="22"/>
          <w:szCs w:val="22"/>
        </w:rPr>
        <w:t>ode</w:t>
      </w:r>
      <w:r w:rsidRPr="00796E3A">
        <w:rPr>
          <w:color w:val="auto"/>
          <w:sz w:val="22"/>
          <w:szCs w:val="22"/>
        </w:rPr>
        <w:t xml:space="preserve"> 10.1.2)</w:t>
      </w:r>
      <w:r>
        <w:rPr>
          <w:color w:val="auto"/>
          <w:sz w:val="22"/>
          <w:szCs w:val="22"/>
        </w:rPr>
        <w:t xml:space="preserve"> </w:t>
      </w:r>
      <w:r w:rsidRPr="00006703">
        <w:rPr>
          <w:color w:val="auto"/>
          <w:sz w:val="22"/>
          <w:szCs w:val="22"/>
        </w:rPr>
        <w:t>c</w:t>
      </w:r>
      <w:r w:rsidR="002C60EA">
        <w:rPr>
          <w:color w:val="auto"/>
          <w:sz w:val="22"/>
          <w:szCs w:val="22"/>
        </w:rPr>
        <w:t>a</w:t>
      </w:r>
      <w:r w:rsidRPr="00006703">
        <w:rPr>
          <w:color w:val="auto"/>
          <w:sz w:val="22"/>
          <w:szCs w:val="22"/>
        </w:rPr>
        <w:t>me into force on 6 April 2016</w:t>
      </w:r>
      <w:r>
        <w:rPr>
          <w:color w:val="auto"/>
          <w:sz w:val="22"/>
          <w:szCs w:val="22"/>
        </w:rPr>
        <w:t>.</w:t>
      </w:r>
      <w:r w:rsidRPr="00006703">
        <w:rPr>
          <w:color w:val="auto"/>
          <w:sz w:val="22"/>
          <w:szCs w:val="22"/>
        </w:rPr>
        <w:t xml:space="preserve"> </w:t>
      </w:r>
    </w:p>
    <w:p w14:paraId="3A710F35" w14:textId="77777777" w:rsidR="00BB5E9E" w:rsidRDefault="00BB5E9E" w:rsidP="008D6739">
      <w:pPr>
        <w:pStyle w:val="Default"/>
        <w:ind w:hanging="11"/>
        <w:rPr>
          <w:color w:val="auto"/>
          <w:sz w:val="22"/>
          <w:szCs w:val="22"/>
        </w:rPr>
      </w:pPr>
    </w:p>
    <w:p w14:paraId="1E6138DA" w14:textId="77777777" w:rsidR="00BB5E9E" w:rsidRPr="00006703" w:rsidRDefault="00BB5E9E" w:rsidP="008D6739">
      <w:pPr>
        <w:pStyle w:val="Default"/>
        <w:ind w:hanging="11"/>
        <w:rPr>
          <w:color w:val="auto"/>
          <w:sz w:val="22"/>
          <w:szCs w:val="22"/>
        </w:rPr>
      </w:pPr>
      <w:r>
        <w:rPr>
          <w:color w:val="auto"/>
          <w:sz w:val="22"/>
          <w:szCs w:val="22"/>
        </w:rPr>
        <w:t>This l</w:t>
      </w:r>
      <w:r w:rsidRPr="00006703">
        <w:rPr>
          <w:color w:val="auto"/>
          <w:sz w:val="22"/>
          <w:szCs w:val="22"/>
        </w:rPr>
        <w:t>icensing authority</w:t>
      </w:r>
      <w:r w:rsidR="002C60EA">
        <w:rPr>
          <w:color w:val="auto"/>
          <w:sz w:val="22"/>
          <w:szCs w:val="22"/>
        </w:rPr>
        <w:t xml:space="preserve"> has consequently</w:t>
      </w:r>
      <w:r w:rsidRPr="00006703">
        <w:rPr>
          <w:color w:val="auto"/>
          <w:sz w:val="22"/>
          <w:szCs w:val="22"/>
        </w:rPr>
        <w:t xml:space="preserve"> require</w:t>
      </w:r>
      <w:r w:rsidR="002C60EA">
        <w:rPr>
          <w:color w:val="auto"/>
          <w:sz w:val="22"/>
          <w:szCs w:val="22"/>
        </w:rPr>
        <w:t>d</w:t>
      </w:r>
      <w:r w:rsidRPr="00006703">
        <w:rPr>
          <w:color w:val="auto"/>
          <w:sz w:val="22"/>
          <w:szCs w:val="22"/>
        </w:rPr>
        <w:t xml:space="preserve"> these risk assessments to be submitted for all gambling premises application</w:t>
      </w:r>
      <w:r w:rsidRPr="00006703">
        <w:rPr>
          <w:sz w:val="22"/>
          <w:szCs w:val="22"/>
        </w:rPr>
        <w:t>s</w:t>
      </w:r>
      <w:r w:rsidRPr="00006703">
        <w:rPr>
          <w:color w:val="auto"/>
          <w:sz w:val="22"/>
          <w:szCs w:val="22"/>
        </w:rPr>
        <w:t xml:space="preserve"> for new and variation applications</w:t>
      </w:r>
      <w:r w:rsidR="00330BC1">
        <w:rPr>
          <w:color w:val="auto"/>
          <w:sz w:val="22"/>
          <w:szCs w:val="22"/>
        </w:rPr>
        <w:t xml:space="preserve">, or otherwise upon request, </w:t>
      </w:r>
      <w:r w:rsidRPr="00006703">
        <w:rPr>
          <w:sz w:val="22"/>
          <w:szCs w:val="22"/>
        </w:rPr>
        <w:t>from this date</w:t>
      </w:r>
      <w:r w:rsidR="00330BC1">
        <w:rPr>
          <w:sz w:val="22"/>
          <w:szCs w:val="22"/>
        </w:rPr>
        <w:t>.</w:t>
      </w:r>
      <w:r w:rsidR="00331871">
        <w:rPr>
          <w:sz w:val="22"/>
          <w:szCs w:val="22"/>
        </w:rPr>
        <w:t xml:space="preserve">  </w:t>
      </w:r>
      <w:r w:rsidR="00331871" w:rsidRPr="00331871">
        <w:rPr>
          <w:color w:val="auto"/>
          <w:sz w:val="22"/>
          <w:szCs w:val="22"/>
        </w:rPr>
        <w:t>Operators will therefore need to ensure that their local risk assessments are kept on the premises to enable it to be produced to an authorised officer upon request and to ensure that staff have access to, and are familiar, with it</w:t>
      </w:r>
      <w:r w:rsidR="00331871">
        <w:rPr>
          <w:color w:val="auto"/>
          <w:sz w:val="22"/>
          <w:szCs w:val="22"/>
        </w:rPr>
        <w:t>.</w:t>
      </w:r>
    </w:p>
    <w:p w14:paraId="1FAD1160" w14:textId="77777777" w:rsidR="00406792" w:rsidRDefault="00406792" w:rsidP="008D6739">
      <w:pPr>
        <w:pStyle w:val="Default"/>
        <w:ind w:hanging="11"/>
        <w:rPr>
          <w:b/>
          <w:bCs/>
          <w:color w:val="FF0000"/>
          <w:sz w:val="22"/>
          <w:szCs w:val="22"/>
        </w:rPr>
      </w:pPr>
    </w:p>
    <w:p w14:paraId="4D8043E0" w14:textId="21CF5F8F" w:rsidR="00666B14" w:rsidRDefault="00BB5E9E" w:rsidP="00D20736">
      <w:pPr>
        <w:pStyle w:val="Heading2"/>
        <w:numPr>
          <w:ilvl w:val="0"/>
          <w:numId w:val="45"/>
        </w:numPr>
      </w:pPr>
      <w:r w:rsidRPr="00115026">
        <w:t>Local Area Profile</w:t>
      </w:r>
    </w:p>
    <w:p w14:paraId="4CB8C476" w14:textId="77777777" w:rsidR="00840328" w:rsidRDefault="00840328" w:rsidP="008D6739">
      <w:pPr>
        <w:jc w:val="both"/>
        <w:rPr>
          <w:rFonts w:cs="Arial"/>
          <w:b/>
          <w:bCs/>
          <w:szCs w:val="22"/>
        </w:rPr>
      </w:pPr>
    </w:p>
    <w:p w14:paraId="6755C5C5" w14:textId="77777777" w:rsidR="002B229D" w:rsidRPr="00BB5E9E" w:rsidRDefault="00D12410" w:rsidP="008D6739">
      <w:pPr>
        <w:pStyle w:val="Default"/>
        <w:rPr>
          <w:color w:val="auto"/>
          <w:sz w:val="22"/>
          <w:szCs w:val="22"/>
        </w:rPr>
      </w:pPr>
      <w:r w:rsidRPr="00BB5E9E">
        <w:rPr>
          <w:color w:val="auto"/>
          <w:sz w:val="22"/>
          <w:szCs w:val="22"/>
        </w:rPr>
        <w:t xml:space="preserve">The draft guidance </w:t>
      </w:r>
      <w:r w:rsidR="00BB5E9E">
        <w:rPr>
          <w:color w:val="auto"/>
          <w:sz w:val="22"/>
          <w:szCs w:val="22"/>
        </w:rPr>
        <w:t>suggests that</w:t>
      </w:r>
      <w:r w:rsidRPr="00BB5E9E">
        <w:rPr>
          <w:color w:val="auto"/>
          <w:sz w:val="22"/>
          <w:szCs w:val="22"/>
        </w:rPr>
        <w:t>, like operators, licensing authorities complete and map their own assessment of local risks and concerns</w:t>
      </w:r>
      <w:r w:rsidR="00570A03">
        <w:rPr>
          <w:color w:val="auto"/>
          <w:sz w:val="22"/>
          <w:szCs w:val="22"/>
        </w:rPr>
        <w:t>,</w:t>
      </w:r>
      <w:r w:rsidRPr="00BB5E9E">
        <w:rPr>
          <w:color w:val="auto"/>
          <w:sz w:val="22"/>
          <w:szCs w:val="22"/>
        </w:rPr>
        <w:t xml:space="preserve"> by developing local area profiles </w:t>
      </w:r>
      <w:r w:rsidR="00BB5E9E">
        <w:rPr>
          <w:color w:val="auto"/>
          <w:sz w:val="22"/>
          <w:szCs w:val="22"/>
        </w:rPr>
        <w:t>to help shape their statements</w:t>
      </w:r>
      <w:r w:rsidR="00172F90">
        <w:rPr>
          <w:color w:val="auto"/>
          <w:sz w:val="22"/>
          <w:szCs w:val="22"/>
        </w:rPr>
        <w:t>;</w:t>
      </w:r>
      <w:r w:rsidR="00BB5E9E">
        <w:rPr>
          <w:color w:val="auto"/>
          <w:sz w:val="22"/>
          <w:szCs w:val="22"/>
        </w:rPr>
        <w:t xml:space="preserve"> </w:t>
      </w:r>
      <w:r w:rsidRPr="00BB5E9E">
        <w:rPr>
          <w:color w:val="auto"/>
          <w:sz w:val="22"/>
          <w:szCs w:val="22"/>
        </w:rPr>
        <w:t>although there is no requirement to do this.</w:t>
      </w:r>
    </w:p>
    <w:p w14:paraId="60910DC7" w14:textId="77777777" w:rsidR="002B229D" w:rsidRPr="00BB5E9E" w:rsidRDefault="002B229D" w:rsidP="008D6739">
      <w:pPr>
        <w:pStyle w:val="Default"/>
        <w:rPr>
          <w:color w:val="auto"/>
          <w:sz w:val="22"/>
          <w:szCs w:val="22"/>
        </w:rPr>
      </w:pPr>
    </w:p>
    <w:p w14:paraId="37CA64C2" w14:textId="77777777" w:rsidR="00D12410" w:rsidRPr="00BB5E9E" w:rsidRDefault="00D12410" w:rsidP="008D6739">
      <w:pPr>
        <w:pStyle w:val="Default"/>
        <w:rPr>
          <w:color w:val="auto"/>
          <w:sz w:val="22"/>
          <w:szCs w:val="22"/>
        </w:rPr>
      </w:pPr>
      <w:r w:rsidRPr="00BB5E9E">
        <w:rPr>
          <w:color w:val="auto"/>
          <w:sz w:val="22"/>
          <w:szCs w:val="22"/>
        </w:rPr>
        <w:t xml:space="preserve">In simple terms, the objective of </w:t>
      </w:r>
      <w:r w:rsidR="00643799" w:rsidRPr="00BB5E9E">
        <w:rPr>
          <w:color w:val="auto"/>
          <w:sz w:val="22"/>
          <w:szCs w:val="22"/>
        </w:rPr>
        <w:t xml:space="preserve">a local area profile in this context </w:t>
      </w:r>
      <w:r w:rsidRPr="00BB5E9E">
        <w:rPr>
          <w:color w:val="auto"/>
          <w:sz w:val="22"/>
          <w:szCs w:val="22"/>
        </w:rPr>
        <w:t xml:space="preserve">is to set out what </w:t>
      </w:r>
      <w:r w:rsidR="00643799" w:rsidRPr="00BB5E9E">
        <w:rPr>
          <w:color w:val="auto"/>
          <w:sz w:val="22"/>
          <w:szCs w:val="22"/>
        </w:rPr>
        <w:t>an</w:t>
      </w:r>
      <w:r w:rsidRPr="00BB5E9E">
        <w:rPr>
          <w:color w:val="auto"/>
          <w:sz w:val="22"/>
          <w:szCs w:val="22"/>
        </w:rPr>
        <w:t xml:space="preserve"> area is like, what risks this might pose to the licensing objectives, and what the implications of this are for the licensing authority and operators. </w:t>
      </w:r>
    </w:p>
    <w:p w14:paraId="6A883BAB" w14:textId="77777777" w:rsidR="00D12410" w:rsidRPr="00D12410" w:rsidRDefault="00D12410" w:rsidP="008D6739">
      <w:pPr>
        <w:pStyle w:val="Default"/>
        <w:rPr>
          <w:color w:val="FF0000"/>
          <w:sz w:val="22"/>
          <w:szCs w:val="22"/>
        </w:rPr>
      </w:pPr>
    </w:p>
    <w:p w14:paraId="0765FD1F" w14:textId="77777777" w:rsidR="00172F90" w:rsidRDefault="00172F90" w:rsidP="008D6739">
      <w:pPr>
        <w:jc w:val="both"/>
        <w:rPr>
          <w:rFonts w:cs="Arial"/>
          <w:b/>
          <w:bCs/>
          <w:color w:val="000000"/>
          <w:szCs w:val="22"/>
        </w:rPr>
      </w:pPr>
      <w:r>
        <w:rPr>
          <w:rFonts w:cs="Arial MT Std Light"/>
          <w:color w:val="000000"/>
          <w:szCs w:val="22"/>
        </w:rPr>
        <w:t xml:space="preserve">Licensing authorities may wish to include local area profiles within their statements. Alternatively, they can reference the implications of local area profiles for their regulatory approach in the </w:t>
      </w:r>
      <w:proofErr w:type="gramStart"/>
      <w:r>
        <w:rPr>
          <w:rFonts w:cs="Arial MT Std Light"/>
          <w:color w:val="000000"/>
          <w:szCs w:val="22"/>
        </w:rPr>
        <w:t>statement, but</w:t>
      </w:r>
      <w:proofErr w:type="gramEnd"/>
      <w:r>
        <w:rPr>
          <w:rFonts w:cs="Arial MT Std Light"/>
          <w:color w:val="000000"/>
          <w:szCs w:val="22"/>
        </w:rPr>
        <w:t xml:space="preserve"> maintain the actual profiles separately in order to </w:t>
      </w:r>
      <w:r w:rsidRPr="00172F90">
        <w:rPr>
          <w:rFonts w:cs="Arial"/>
          <w:bCs/>
          <w:color w:val="000000"/>
          <w:szCs w:val="22"/>
        </w:rPr>
        <w:t xml:space="preserve">enable </w:t>
      </w:r>
      <w:r w:rsidR="005176EB">
        <w:rPr>
          <w:rFonts w:cs="Arial"/>
          <w:bCs/>
          <w:color w:val="000000"/>
          <w:szCs w:val="22"/>
        </w:rPr>
        <w:t>them</w:t>
      </w:r>
      <w:r w:rsidRPr="00172F90">
        <w:rPr>
          <w:rFonts w:cs="Arial"/>
          <w:bCs/>
          <w:color w:val="000000"/>
          <w:szCs w:val="22"/>
        </w:rPr>
        <w:t xml:space="preserve"> to be updated without the need to re-consult on amending the full statement of principles.</w:t>
      </w:r>
      <w:r>
        <w:rPr>
          <w:rFonts w:cs="Arial"/>
          <w:b/>
          <w:bCs/>
          <w:color w:val="000000"/>
          <w:szCs w:val="22"/>
        </w:rPr>
        <w:t xml:space="preserve"> </w:t>
      </w:r>
    </w:p>
    <w:p w14:paraId="6EAC343F" w14:textId="77777777" w:rsidR="00172F90" w:rsidRDefault="00172F90" w:rsidP="008D6739">
      <w:pPr>
        <w:jc w:val="both"/>
        <w:rPr>
          <w:rFonts w:cs="Arial"/>
          <w:b/>
          <w:bCs/>
          <w:color w:val="000000"/>
          <w:szCs w:val="22"/>
        </w:rPr>
      </w:pPr>
    </w:p>
    <w:p w14:paraId="5F5D589C" w14:textId="77777777" w:rsidR="005176EB" w:rsidRDefault="00172F90" w:rsidP="008D6739">
      <w:pPr>
        <w:jc w:val="both"/>
        <w:rPr>
          <w:rFonts w:cs="Arial"/>
          <w:szCs w:val="22"/>
        </w:rPr>
      </w:pPr>
      <w:r w:rsidRPr="00172F90">
        <w:rPr>
          <w:rFonts w:cs="Arial"/>
          <w:szCs w:val="22"/>
        </w:rPr>
        <w:t>Gravesham’s area is subject to ongoing change and development.  It is not therefore considered appropriate to include a local area profile within the body of this policy as this w</w:t>
      </w:r>
      <w:r w:rsidR="00C254C3">
        <w:rPr>
          <w:rFonts w:cs="Arial"/>
          <w:szCs w:val="22"/>
        </w:rPr>
        <w:t>ould</w:t>
      </w:r>
      <w:r w:rsidRPr="00172F90">
        <w:rPr>
          <w:rFonts w:cs="Arial"/>
          <w:szCs w:val="22"/>
        </w:rPr>
        <w:t xml:space="preserve"> only represent a snapshot of its profile</w:t>
      </w:r>
      <w:r w:rsidR="00C254C3">
        <w:rPr>
          <w:rFonts w:cs="Arial"/>
          <w:szCs w:val="22"/>
        </w:rPr>
        <w:t xml:space="preserve"> at a given point in time and require re-consultation whenever updated.</w:t>
      </w:r>
    </w:p>
    <w:p w14:paraId="1B1D3F1A" w14:textId="77777777" w:rsidR="005176EB" w:rsidRDefault="005176EB" w:rsidP="008D6739">
      <w:pPr>
        <w:jc w:val="both"/>
        <w:rPr>
          <w:rFonts w:cs="Arial"/>
          <w:szCs w:val="22"/>
        </w:rPr>
      </w:pPr>
    </w:p>
    <w:p w14:paraId="4C0A8789" w14:textId="77777777" w:rsidR="00172F90" w:rsidRPr="005F4F96" w:rsidRDefault="001D5245" w:rsidP="008D6739">
      <w:pPr>
        <w:jc w:val="both"/>
        <w:rPr>
          <w:rFonts w:cs="Arial"/>
          <w:szCs w:val="22"/>
        </w:rPr>
      </w:pPr>
      <w:r>
        <w:rPr>
          <w:szCs w:val="22"/>
        </w:rPr>
        <w:t>At the time of publishing this document, t</w:t>
      </w:r>
      <w:r w:rsidR="005176EB" w:rsidRPr="005F4F96">
        <w:rPr>
          <w:szCs w:val="22"/>
        </w:rPr>
        <w:t>his Licensing Authority does not have evidence suggesting any specific issues</w:t>
      </w:r>
      <w:r w:rsidR="005176EB">
        <w:rPr>
          <w:szCs w:val="22"/>
        </w:rPr>
        <w:t xml:space="preserve"> within its area</w:t>
      </w:r>
      <w:r w:rsidR="00C254C3">
        <w:rPr>
          <w:szCs w:val="22"/>
        </w:rPr>
        <w:t xml:space="preserve"> or sufficient data with which to produce a suitably detailed local area profile. </w:t>
      </w:r>
      <w:r w:rsidR="005176EB" w:rsidRPr="005F4F96">
        <w:rPr>
          <w:szCs w:val="22"/>
        </w:rPr>
        <w:t xml:space="preserve"> </w:t>
      </w:r>
      <w:r w:rsidR="00172F90" w:rsidRPr="00172F90">
        <w:rPr>
          <w:rFonts w:cs="Arial"/>
          <w:szCs w:val="22"/>
        </w:rPr>
        <w:t xml:space="preserve">If </w:t>
      </w:r>
      <w:r w:rsidR="005176EB">
        <w:rPr>
          <w:rFonts w:cs="Arial"/>
          <w:szCs w:val="22"/>
        </w:rPr>
        <w:t>the</w:t>
      </w:r>
      <w:r w:rsidR="00172F90" w:rsidRPr="00172F90">
        <w:rPr>
          <w:rFonts w:cs="Arial"/>
          <w:szCs w:val="22"/>
        </w:rPr>
        <w:t xml:space="preserve"> need </w:t>
      </w:r>
      <w:r w:rsidR="005176EB">
        <w:rPr>
          <w:rFonts w:cs="Arial"/>
          <w:szCs w:val="22"/>
        </w:rPr>
        <w:t>to</w:t>
      </w:r>
      <w:r w:rsidR="00172F90" w:rsidRPr="00172F90">
        <w:rPr>
          <w:rFonts w:cs="Arial"/>
          <w:szCs w:val="22"/>
        </w:rPr>
        <w:t xml:space="preserve"> develop </w:t>
      </w:r>
      <w:r w:rsidR="005176EB">
        <w:rPr>
          <w:rFonts w:cs="Arial"/>
          <w:szCs w:val="22"/>
        </w:rPr>
        <w:t>a</w:t>
      </w:r>
      <w:r w:rsidR="00172F90" w:rsidRPr="00172F90">
        <w:rPr>
          <w:rFonts w:cs="Arial"/>
          <w:szCs w:val="22"/>
        </w:rPr>
        <w:t xml:space="preserve"> local area profile </w:t>
      </w:r>
      <w:r w:rsidR="005176EB">
        <w:rPr>
          <w:rFonts w:cs="Arial"/>
          <w:szCs w:val="22"/>
        </w:rPr>
        <w:t xml:space="preserve">arises, </w:t>
      </w:r>
      <w:r w:rsidR="00172F90" w:rsidRPr="00172F90">
        <w:rPr>
          <w:rFonts w:cs="Arial"/>
          <w:szCs w:val="22"/>
        </w:rPr>
        <w:t xml:space="preserve">this will be done outside the scope of this document and updated as appropriate.  Any local area profile will be </w:t>
      </w:r>
      <w:r w:rsidR="00172F90" w:rsidRPr="005F4F96">
        <w:rPr>
          <w:rFonts w:cs="Arial"/>
          <w:szCs w:val="22"/>
        </w:rPr>
        <w:t>available to view alongside this policy</w:t>
      </w:r>
      <w:r w:rsidR="00867DF6">
        <w:rPr>
          <w:rFonts w:cs="Arial"/>
          <w:szCs w:val="22"/>
        </w:rPr>
        <w:t xml:space="preserve"> on the council’s website</w:t>
      </w:r>
      <w:r w:rsidR="00172F90" w:rsidRPr="005F4F96">
        <w:rPr>
          <w:rFonts w:cs="Arial"/>
          <w:szCs w:val="22"/>
        </w:rPr>
        <w:t xml:space="preserve"> </w:t>
      </w:r>
      <w:hyperlink r:id="rId14" w:history="1">
        <w:r w:rsidR="00172F90" w:rsidRPr="005F4F96">
          <w:rPr>
            <w:rStyle w:val="Hyperlink"/>
            <w:rFonts w:cs="Arial"/>
            <w:color w:val="auto"/>
            <w:szCs w:val="22"/>
            <w:u w:val="none"/>
          </w:rPr>
          <w:t>www.gravesham.gov.uk</w:t>
        </w:r>
      </w:hyperlink>
    </w:p>
    <w:p w14:paraId="4AFE6A5C" w14:textId="77777777" w:rsidR="00172F90" w:rsidRDefault="00172F90" w:rsidP="008D6739">
      <w:pPr>
        <w:jc w:val="both"/>
        <w:rPr>
          <w:rFonts w:cs="Arial"/>
          <w:szCs w:val="22"/>
        </w:rPr>
      </w:pPr>
    </w:p>
    <w:p w14:paraId="35EA96A4" w14:textId="368921D1" w:rsidR="00AF1C9B" w:rsidRPr="00D12410" w:rsidRDefault="00AF1C9B" w:rsidP="00D20736">
      <w:pPr>
        <w:pStyle w:val="Heading2"/>
        <w:numPr>
          <w:ilvl w:val="0"/>
          <w:numId w:val="45"/>
        </w:numPr>
      </w:pPr>
      <w:r w:rsidRPr="00D12410">
        <w:t xml:space="preserve">Casinos </w:t>
      </w:r>
    </w:p>
    <w:p w14:paraId="03A1D491" w14:textId="77777777" w:rsidR="00AF1C9B" w:rsidRDefault="00AF1C9B" w:rsidP="008D6739">
      <w:pPr>
        <w:jc w:val="both"/>
        <w:rPr>
          <w:rFonts w:cs="Arial"/>
          <w:szCs w:val="22"/>
        </w:rPr>
      </w:pPr>
    </w:p>
    <w:p w14:paraId="726480FC" w14:textId="77777777" w:rsidR="00AF1C9B" w:rsidRPr="00D12410" w:rsidRDefault="00BC536B" w:rsidP="008D6739">
      <w:pPr>
        <w:jc w:val="both"/>
        <w:rPr>
          <w:rFonts w:cs="Arial"/>
          <w:szCs w:val="22"/>
        </w:rPr>
      </w:pPr>
      <w:r>
        <w:rPr>
          <w:rFonts w:cs="Arial"/>
          <w:szCs w:val="22"/>
        </w:rPr>
        <w:t>Section 175 of the Gambling Act 2005 restricts the number of small casinos, to have effect at any one time, to 8 across the whole of Great Britain.</w:t>
      </w:r>
      <w:r w:rsidR="00656DAD">
        <w:rPr>
          <w:rFonts w:cs="Arial"/>
          <w:szCs w:val="22"/>
        </w:rPr>
        <w:t xml:space="preserve">  </w:t>
      </w:r>
      <w:r w:rsidR="00AF1C9B" w:rsidRPr="00656DAD">
        <w:rPr>
          <w:rFonts w:cs="Arial"/>
          <w:szCs w:val="22"/>
        </w:rPr>
        <w:t>This licensing authority did not submit a proposal for a premises licence for a small casino</w:t>
      </w:r>
      <w:r w:rsidR="00656DAD">
        <w:rPr>
          <w:rFonts w:cs="Arial"/>
          <w:szCs w:val="22"/>
        </w:rPr>
        <w:t>.</w:t>
      </w:r>
    </w:p>
    <w:p w14:paraId="14B53A3C" w14:textId="77777777" w:rsidR="00AF1C9B" w:rsidRPr="00D12410" w:rsidRDefault="00AF1C9B" w:rsidP="008D6739">
      <w:pPr>
        <w:jc w:val="both"/>
        <w:rPr>
          <w:rFonts w:cs="Arial"/>
          <w:szCs w:val="22"/>
        </w:rPr>
      </w:pPr>
    </w:p>
    <w:p w14:paraId="0787DEDA" w14:textId="77777777" w:rsidR="00AF1C9B" w:rsidRPr="009A1D20" w:rsidRDefault="00AF1C9B" w:rsidP="008D6739">
      <w:pPr>
        <w:jc w:val="both"/>
        <w:rPr>
          <w:rFonts w:cs="Tahoma"/>
        </w:rPr>
      </w:pPr>
      <w:r w:rsidRPr="009A1D20">
        <w:rPr>
          <w:rFonts w:cs="Arial"/>
          <w:szCs w:val="22"/>
        </w:rPr>
        <w:t xml:space="preserve">Section 166 of the Gambling Act 2005 gives a Licensing Authority the ability to resolve not to issue casino premises licences. This licensing authority passed a ‘no casino’ resolution at a meeting of Full Council on </w:t>
      </w:r>
      <w:r w:rsidR="00DB5A5F" w:rsidRPr="009A1D20">
        <w:rPr>
          <w:rFonts w:cs="Arial"/>
          <w:szCs w:val="22"/>
        </w:rPr>
        <w:t>4 December 2012</w:t>
      </w:r>
      <w:r w:rsidR="008C62CD">
        <w:rPr>
          <w:rFonts w:cs="Arial"/>
          <w:szCs w:val="22"/>
        </w:rPr>
        <w:t xml:space="preserve">, </w:t>
      </w:r>
      <w:r w:rsidR="001544A5" w:rsidRPr="009A1D20">
        <w:rPr>
          <w:rFonts w:cs="Tahoma"/>
        </w:rPr>
        <w:t>8 December 2015</w:t>
      </w:r>
      <w:r w:rsidR="00570A03">
        <w:rPr>
          <w:rFonts w:cs="Tahoma"/>
        </w:rPr>
        <w:t>,</w:t>
      </w:r>
      <w:r w:rsidR="008C62CD">
        <w:rPr>
          <w:rFonts w:cs="Tahoma"/>
        </w:rPr>
        <w:t xml:space="preserve"> 18 December 2018</w:t>
      </w:r>
      <w:r w:rsidR="00570A03">
        <w:rPr>
          <w:rFonts w:cs="Tahoma"/>
        </w:rPr>
        <w:t xml:space="preserve"> and </w:t>
      </w:r>
      <w:r w:rsidR="00796E3A">
        <w:rPr>
          <w:rFonts w:cs="Tahoma"/>
        </w:rPr>
        <w:t>(due 7 December 2021)</w:t>
      </w:r>
      <w:r w:rsidR="001544A5" w:rsidRPr="009A1D20">
        <w:rPr>
          <w:rFonts w:cs="Tahoma"/>
        </w:rPr>
        <w:t xml:space="preserve">. </w:t>
      </w:r>
      <w:r w:rsidRPr="009A1D20">
        <w:rPr>
          <w:rFonts w:cs="Arial"/>
          <w:szCs w:val="22"/>
        </w:rPr>
        <w:t xml:space="preserve"> </w:t>
      </w:r>
    </w:p>
    <w:p w14:paraId="027CF684" w14:textId="77777777" w:rsidR="00406792" w:rsidRDefault="00406792" w:rsidP="008D6739">
      <w:pPr>
        <w:rPr>
          <w:lang w:eastAsia="en-US"/>
        </w:rPr>
      </w:pPr>
    </w:p>
    <w:p w14:paraId="0F09C49A" w14:textId="28EA3AB9" w:rsidR="00AF1C9B" w:rsidRDefault="00AF1C9B" w:rsidP="00D20736">
      <w:pPr>
        <w:pStyle w:val="Heading2"/>
        <w:numPr>
          <w:ilvl w:val="0"/>
          <w:numId w:val="45"/>
        </w:numPr>
      </w:pPr>
      <w:r w:rsidRPr="00A87BFE">
        <w:lastRenderedPageBreak/>
        <w:t>Functions</w:t>
      </w:r>
    </w:p>
    <w:p w14:paraId="04C80697" w14:textId="77777777" w:rsidR="00E02671" w:rsidRPr="0093418B" w:rsidRDefault="00E02671" w:rsidP="008D6739">
      <w:pPr>
        <w:rPr>
          <w:lang w:eastAsia="en-US"/>
        </w:rPr>
      </w:pPr>
    </w:p>
    <w:p w14:paraId="08B193A5" w14:textId="77777777" w:rsidR="00AF1C9B" w:rsidRPr="004B7B53" w:rsidRDefault="00E25ECA" w:rsidP="008D6739">
      <w:pPr>
        <w:pStyle w:val="BodyText3"/>
        <w:rPr>
          <w:rFonts w:cs="Tahoma"/>
          <w:b/>
          <w:sz w:val="22"/>
        </w:rPr>
      </w:pPr>
      <w:r w:rsidRPr="004B7B53">
        <w:rPr>
          <w:rFonts w:cs="Tahoma"/>
          <w:b/>
          <w:sz w:val="22"/>
        </w:rPr>
        <w:t>The following functions are under the responsibility of the Licensing Authority</w:t>
      </w:r>
    </w:p>
    <w:p w14:paraId="1F79CAAE" w14:textId="77777777" w:rsidR="00E25ECA" w:rsidRDefault="00E25ECA" w:rsidP="008D6739">
      <w:pPr>
        <w:pStyle w:val="BodyText3"/>
        <w:rPr>
          <w:rFonts w:cs="Tahoma"/>
          <w:b/>
          <w:sz w:val="22"/>
        </w:rPr>
      </w:pPr>
    </w:p>
    <w:p w14:paraId="1E612F5C" w14:textId="77777777" w:rsidR="00E25ECA" w:rsidRPr="00E66942" w:rsidRDefault="00E25ECA" w:rsidP="008D6739">
      <w:pPr>
        <w:pStyle w:val="BodyText3"/>
        <w:numPr>
          <w:ilvl w:val="0"/>
          <w:numId w:val="20"/>
        </w:numPr>
        <w:rPr>
          <w:rFonts w:cs="Tahoma"/>
          <w:iCs/>
          <w:sz w:val="22"/>
        </w:rPr>
      </w:pPr>
      <w:r w:rsidRPr="00E66942">
        <w:rPr>
          <w:rFonts w:cs="Tahoma"/>
          <w:sz w:val="22"/>
        </w:rPr>
        <w:t xml:space="preserve">The licensing of premises where gambling activities are to take place by issuing </w:t>
      </w:r>
      <w:r w:rsidRPr="00E66942">
        <w:rPr>
          <w:rFonts w:cs="Tahoma"/>
          <w:iCs/>
          <w:sz w:val="22"/>
        </w:rPr>
        <w:t>Premises Licences</w:t>
      </w:r>
    </w:p>
    <w:p w14:paraId="11628E1A" w14:textId="77777777" w:rsidR="00E25ECA" w:rsidRPr="00E66942" w:rsidRDefault="00E25ECA" w:rsidP="008D6739">
      <w:pPr>
        <w:pStyle w:val="BodyText3"/>
        <w:numPr>
          <w:ilvl w:val="0"/>
          <w:numId w:val="20"/>
        </w:numPr>
        <w:rPr>
          <w:rFonts w:cs="Tahoma"/>
          <w:sz w:val="22"/>
        </w:rPr>
      </w:pPr>
      <w:r w:rsidRPr="00E66942">
        <w:rPr>
          <w:rFonts w:cs="Tahoma"/>
          <w:sz w:val="22"/>
        </w:rPr>
        <w:t>Issue Provisional Statements</w:t>
      </w:r>
    </w:p>
    <w:p w14:paraId="0CF23F55" w14:textId="77777777" w:rsidR="00E25ECA" w:rsidRPr="00E66942" w:rsidRDefault="00E25ECA" w:rsidP="008D6739">
      <w:pPr>
        <w:pStyle w:val="BodyText3"/>
        <w:numPr>
          <w:ilvl w:val="0"/>
          <w:numId w:val="20"/>
        </w:numPr>
        <w:rPr>
          <w:rFonts w:cs="Tahoma"/>
          <w:sz w:val="22"/>
        </w:rPr>
      </w:pPr>
      <w:r w:rsidRPr="00E66942">
        <w:rPr>
          <w:rFonts w:cs="Tahoma"/>
          <w:sz w:val="22"/>
        </w:rPr>
        <w:t>Regulate members’ clubs and miners’ welfare institutes who wish to undertake certain gaming activities via issuing Club Gaming Permits and/or Club Machine Permits</w:t>
      </w:r>
    </w:p>
    <w:p w14:paraId="44746915" w14:textId="77777777" w:rsidR="00E02671" w:rsidRPr="00E66942" w:rsidRDefault="00E25ECA" w:rsidP="008D6739">
      <w:pPr>
        <w:pStyle w:val="BodyText3"/>
        <w:numPr>
          <w:ilvl w:val="0"/>
          <w:numId w:val="20"/>
        </w:numPr>
        <w:rPr>
          <w:rFonts w:cs="Tahoma"/>
          <w:iCs/>
          <w:sz w:val="22"/>
        </w:rPr>
      </w:pPr>
      <w:r w:rsidRPr="00E66942">
        <w:rPr>
          <w:rFonts w:cs="Tahoma"/>
          <w:sz w:val="22"/>
        </w:rPr>
        <w:t xml:space="preserve">Issue </w:t>
      </w:r>
      <w:r w:rsidRPr="00E66942">
        <w:rPr>
          <w:rFonts w:cs="Tahoma"/>
          <w:iCs/>
          <w:sz w:val="22"/>
        </w:rPr>
        <w:t>Club Machine Permits</w:t>
      </w:r>
      <w:r w:rsidRPr="00E66942">
        <w:rPr>
          <w:rFonts w:cs="Tahoma"/>
          <w:sz w:val="22"/>
        </w:rPr>
        <w:t xml:space="preserve"> to </w:t>
      </w:r>
      <w:r w:rsidRPr="00E66942">
        <w:rPr>
          <w:rFonts w:cs="Tahoma"/>
          <w:iCs/>
          <w:sz w:val="22"/>
        </w:rPr>
        <w:t>Commercial Clubs</w:t>
      </w:r>
    </w:p>
    <w:p w14:paraId="40F0363A" w14:textId="77777777" w:rsidR="00E25ECA" w:rsidRPr="00E66942" w:rsidRDefault="00E25ECA" w:rsidP="008D6739">
      <w:pPr>
        <w:pStyle w:val="BodyText3"/>
        <w:numPr>
          <w:ilvl w:val="0"/>
          <w:numId w:val="20"/>
        </w:numPr>
        <w:rPr>
          <w:rFonts w:cs="Tahoma"/>
          <w:iCs/>
          <w:sz w:val="22"/>
        </w:rPr>
      </w:pPr>
      <w:r w:rsidRPr="00E66942">
        <w:rPr>
          <w:rFonts w:cs="Tahoma"/>
          <w:sz w:val="22"/>
        </w:rPr>
        <w:t>Grant permits for the use of certain lower stake gaming machines at unlicensed Family Entertainment Centres</w:t>
      </w:r>
    </w:p>
    <w:p w14:paraId="5A5D229D" w14:textId="77777777" w:rsidR="00E25ECA" w:rsidRPr="00E66942" w:rsidRDefault="00E25ECA" w:rsidP="008D6739">
      <w:pPr>
        <w:pStyle w:val="BodyText3"/>
        <w:numPr>
          <w:ilvl w:val="0"/>
          <w:numId w:val="20"/>
        </w:numPr>
        <w:rPr>
          <w:rFonts w:cs="Tahoma"/>
          <w:iCs/>
          <w:sz w:val="22"/>
        </w:rPr>
      </w:pPr>
      <w:r w:rsidRPr="00E66942">
        <w:rPr>
          <w:rFonts w:cs="Tahoma"/>
          <w:sz w:val="22"/>
        </w:rPr>
        <w:t>Receive notifications from alcohol licensed premises (under the Licensing Act 2003) of the use of two or fewer gaming machines</w:t>
      </w:r>
    </w:p>
    <w:p w14:paraId="4205CF2E" w14:textId="77777777" w:rsidR="00E25ECA" w:rsidRPr="00E66942" w:rsidRDefault="00E25ECA" w:rsidP="008D6739">
      <w:pPr>
        <w:pStyle w:val="BodyText3"/>
        <w:numPr>
          <w:ilvl w:val="0"/>
          <w:numId w:val="20"/>
        </w:numPr>
        <w:rPr>
          <w:rFonts w:cs="Tahoma"/>
          <w:sz w:val="22"/>
        </w:rPr>
      </w:pPr>
      <w:r w:rsidRPr="00E66942">
        <w:rPr>
          <w:rFonts w:cs="Tahoma"/>
          <w:sz w:val="22"/>
        </w:rPr>
        <w:t>Grant Licensed Premises Gaming Machine Permits for premises licensed to sell/supply alcohol for consumption on the licensed premises, under the Licensing Act 2003, where more than two machines are required</w:t>
      </w:r>
    </w:p>
    <w:p w14:paraId="73E9F1FF" w14:textId="77777777" w:rsidR="00E25ECA" w:rsidRPr="00E66942" w:rsidRDefault="00E25ECA" w:rsidP="008D6739">
      <w:pPr>
        <w:pStyle w:val="BodyText3"/>
        <w:numPr>
          <w:ilvl w:val="0"/>
          <w:numId w:val="20"/>
        </w:numPr>
        <w:rPr>
          <w:rFonts w:cs="Tahoma"/>
          <w:sz w:val="22"/>
        </w:rPr>
      </w:pPr>
      <w:r w:rsidRPr="00E66942">
        <w:rPr>
          <w:rFonts w:cs="Tahoma"/>
          <w:sz w:val="22"/>
        </w:rPr>
        <w:t>Register small society lotteries below prescribed thresholds</w:t>
      </w:r>
    </w:p>
    <w:p w14:paraId="70F5BF1E" w14:textId="77777777" w:rsidR="00E25ECA" w:rsidRPr="00E66942" w:rsidRDefault="00E25ECA" w:rsidP="008D6739">
      <w:pPr>
        <w:pStyle w:val="BodyText3"/>
        <w:numPr>
          <w:ilvl w:val="0"/>
          <w:numId w:val="20"/>
        </w:numPr>
        <w:rPr>
          <w:rFonts w:cs="Tahoma"/>
          <w:sz w:val="22"/>
        </w:rPr>
      </w:pPr>
      <w:r w:rsidRPr="00E66942">
        <w:rPr>
          <w:rFonts w:cs="Tahoma"/>
          <w:sz w:val="22"/>
        </w:rPr>
        <w:t>Issue Prize Gaming Permits</w:t>
      </w:r>
    </w:p>
    <w:p w14:paraId="1EB1C8ED" w14:textId="77777777" w:rsidR="00E25ECA" w:rsidRPr="00E66942" w:rsidRDefault="00E25ECA" w:rsidP="008D6739">
      <w:pPr>
        <w:pStyle w:val="BodyText3"/>
        <w:numPr>
          <w:ilvl w:val="0"/>
          <w:numId w:val="20"/>
        </w:numPr>
        <w:rPr>
          <w:rFonts w:cs="Tahoma"/>
          <w:sz w:val="22"/>
        </w:rPr>
      </w:pPr>
      <w:r w:rsidRPr="00E66942">
        <w:rPr>
          <w:rFonts w:cs="Tahoma"/>
          <w:sz w:val="22"/>
        </w:rPr>
        <w:t>Receive and Endorse Temporary Use Notices</w:t>
      </w:r>
    </w:p>
    <w:p w14:paraId="2575FCA6" w14:textId="77777777" w:rsidR="00E25ECA" w:rsidRPr="00E66942" w:rsidRDefault="00E25ECA" w:rsidP="008D6739">
      <w:pPr>
        <w:pStyle w:val="BodyText3"/>
        <w:numPr>
          <w:ilvl w:val="0"/>
          <w:numId w:val="20"/>
        </w:numPr>
        <w:rPr>
          <w:rFonts w:cs="Tahoma"/>
          <w:sz w:val="22"/>
        </w:rPr>
      </w:pPr>
      <w:r w:rsidRPr="00E66942">
        <w:rPr>
          <w:rFonts w:cs="Tahoma"/>
          <w:sz w:val="22"/>
        </w:rPr>
        <w:t>Receive Occasional Use Notices</w:t>
      </w:r>
    </w:p>
    <w:p w14:paraId="3A6A29E5" w14:textId="77777777" w:rsidR="00E25ECA" w:rsidRPr="00E66942" w:rsidRDefault="00E25ECA" w:rsidP="008D6739">
      <w:pPr>
        <w:pStyle w:val="BodyText3"/>
        <w:numPr>
          <w:ilvl w:val="0"/>
          <w:numId w:val="20"/>
        </w:numPr>
        <w:rPr>
          <w:rFonts w:cs="Tahoma"/>
          <w:sz w:val="22"/>
        </w:rPr>
      </w:pPr>
      <w:r w:rsidRPr="00E66942">
        <w:rPr>
          <w:rFonts w:cs="Tahoma"/>
          <w:sz w:val="22"/>
        </w:rPr>
        <w:t>Provide information to the Gambling Commission regarding details of licences issued (see section above on ‘information exchange)</w:t>
      </w:r>
    </w:p>
    <w:p w14:paraId="15D61BDF" w14:textId="6B8C94EE" w:rsidR="00E25ECA" w:rsidRDefault="00E25ECA" w:rsidP="008D6739">
      <w:pPr>
        <w:pStyle w:val="BodyText3"/>
        <w:numPr>
          <w:ilvl w:val="0"/>
          <w:numId w:val="20"/>
        </w:numPr>
        <w:rPr>
          <w:rFonts w:cs="Tahoma"/>
          <w:sz w:val="22"/>
        </w:rPr>
      </w:pPr>
      <w:r w:rsidRPr="00E66942">
        <w:rPr>
          <w:rFonts w:cs="Tahoma"/>
          <w:sz w:val="22"/>
        </w:rPr>
        <w:t>Maintain registers of the permits and licences that are issued under these functions</w:t>
      </w:r>
    </w:p>
    <w:p w14:paraId="0B3A65FA" w14:textId="77777777" w:rsidR="00D20736" w:rsidRPr="00E66942" w:rsidRDefault="00D20736" w:rsidP="00D20736">
      <w:pPr>
        <w:pStyle w:val="BodyText3"/>
        <w:ind w:left="720"/>
        <w:rPr>
          <w:rFonts w:cs="Tahoma"/>
          <w:sz w:val="22"/>
        </w:rPr>
      </w:pPr>
    </w:p>
    <w:p w14:paraId="322A65E2" w14:textId="77777777" w:rsidR="00776AFE" w:rsidRDefault="004B7B53" w:rsidP="00D20736">
      <w:r>
        <w:t>The following functions are the responsibility of the Gambling Commission</w:t>
      </w:r>
    </w:p>
    <w:p w14:paraId="1F934BCC" w14:textId="77777777" w:rsidR="003C3634" w:rsidRPr="003C3634" w:rsidRDefault="003C3634" w:rsidP="008D6739">
      <w:pPr>
        <w:rPr>
          <w:lang w:eastAsia="en-US"/>
        </w:rPr>
      </w:pPr>
    </w:p>
    <w:p w14:paraId="70CF8987" w14:textId="77777777" w:rsidR="00776AFE" w:rsidRPr="00E66942" w:rsidRDefault="00E25ECA" w:rsidP="008D6739">
      <w:pPr>
        <w:pStyle w:val="ListParagraph"/>
        <w:numPr>
          <w:ilvl w:val="0"/>
          <w:numId w:val="21"/>
        </w:numPr>
        <w:spacing w:after="0" w:line="240" w:lineRule="auto"/>
        <w:rPr>
          <w:rFonts w:cs="Tahoma"/>
          <w:iCs/>
        </w:rPr>
      </w:pPr>
      <w:r w:rsidRPr="00E66942">
        <w:rPr>
          <w:rFonts w:cs="Tahoma"/>
        </w:rPr>
        <w:t xml:space="preserve">Issue and renewal of </w:t>
      </w:r>
      <w:r w:rsidRPr="00E66942">
        <w:rPr>
          <w:rFonts w:cs="Tahoma"/>
          <w:iCs/>
        </w:rPr>
        <w:t>Operating Licences</w:t>
      </w:r>
    </w:p>
    <w:p w14:paraId="64DBF7A0" w14:textId="77777777" w:rsidR="00E25ECA" w:rsidRPr="00E66942" w:rsidRDefault="00E25ECA" w:rsidP="008D6739">
      <w:pPr>
        <w:pStyle w:val="ListParagraph"/>
        <w:numPr>
          <w:ilvl w:val="0"/>
          <w:numId w:val="21"/>
        </w:numPr>
        <w:spacing w:after="0" w:line="240" w:lineRule="auto"/>
        <w:rPr>
          <w:rFonts w:cs="Tahoma"/>
          <w:iCs/>
        </w:rPr>
      </w:pPr>
      <w:r w:rsidRPr="00E66942">
        <w:rPr>
          <w:rFonts w:cs="Tahoma"/>
        </w:rPr>
        <w:t xml:space="preserve">Review </w:t>
      </w:r>
      <w:r w:rsidRPr="00E66942">
        <w:rPr>
          <w:rFonts w:cs="Tahoma"/>
          <w:iCs/>
        </w:rPr>
        <w:t>Operating Licences</w:t>
      </w:r>
    </w:p>
    <w:p w14:paraId="65B7B16E" w14:textId="77777777" w:rsidR="00E25ECA" w:rsidRPr="00E66942" w:rsidRDefault="00E25ECA" w:rsidP="008D6739">
      <w:pPr>
        <w:pStyle w:val="ListParagraph"/>
        <w:numPr>
          <w:ilvl w:val="0"/>
          <w:numId w:val="21"/>
        </w:numPr>
        <w:spacing w:after="0" w:line="240" w:lineRule="auto"/>
        <w:rPr>
          <w:rFonts w:cs="Tahoma"/>
          <w:iCs/>
        </w:rPr>
      </w:pPr>
      <w:r w:rsidRPr="00E66942">
        <w:rPr>
          <w:rFonts w:cs="Tahoma"/>
        </w:rPr>
        <w:t xml:space="preserve">Issue </w:t>
      </w:r>
      <w:r w:rsidRPr="00E66942">
        <w:rPr>
          <w:rFonts w:cs="Tahoma"/>
          <w:iCs/>
        </w:rPr>
        <w:t>Personal Licences</w:t>
      </w:r>
    </w:p>
    <w:p w14:paraId="531EAFE9" w14:textId="77777777" w:rsidR="00E25ECA" w:rsidRPr="00E66942" w:rsidRDefault="00E25ECA" w:rsidP="008D6739">
      <w:pPr>
        <w:pStyle w:val="ListParagraph"/>
        <w:numPr>
          <w:ilvl w:val="0"/>
          <w:numId w:val="21"/>
        </w:numPr>
        <w:spacing w:after="0" w:line="240" w:lineRule="auto"/>
        <w:rPr>
          <w:rFonts w:cs="Tahoma"/>
          <w:iCs/>
        </w:rPr>
      </w:pPr>
      <w:r w:rsidRPr="00E66942">
        <w:rPr>
          <w:rFonts w:cs="Tahoma"/>
        </w:rPr>
        <w:t xml:space="preserve">Issue </w:t>
      </w:r>
      <w:r w:rsidRPr="00E66942">
        <w:rPr>
          <w:rFonts w:cs="Tahoma"/>
          <w:iCs/>
        </w:rPr>
        <w:t>Codes of Practice</w:t>
      </w:r>
    </w:p>
    <w:p w14:paraId="5B4F6D83" w14:textId="77777777" w:rsidR="00E25ECA" w:rsidRPr="00E66942" w:rsidRDefault="00E25ECA" w:rsidP="008D6739">
      <w:pPr>
        <w:pStyle w:val="ListParagraph"/>
        <w:numPr>
          <w:ilvl w:val="0"/>
          <w:numId w:val="21"/>
        </w:numPr>
        <w:spacing w:after="0" w:line="240" w:lineRule="auto"/>
        <w:rPr>
          <w:rFonts w:cs="Tahoma"/>
          <w:iCs/>
        </w:rPr>
      </w:pPr>
      <w:r w:rsidRPr="00E66942">
        <w:rPr>
          <w:rFonts w:cs="Tahoma"/>
        </w:rPr>
        <w:t xml:space="preserve">Issue </w:t>
      </w:r>
      <w:r w:rsidRPr="00E66942">
        <w:rPr>
          <w:rFonts w:cs="Tahoma"/>
          <w:iCs/>
        </w:rPr>
        <w:t>Guidance to Licensing Authorities</w:t>
      </w:r>
    </w:p>
    <w:p w14:paraId="11291BB3" w14:textId="77777777" w:rsidR="00E25ECA" w:rsidRPr="00E66942" w:rsidRDefault="00E25ECA" w:rsidP="008D6739">
      <w:pPr>
        <w:pStyle w:val="ListParagraph"/>
        <w:numPr>
          <w:ilvl w:val="0"/>
          <w:numId w:val="21"/>
        </w:numPr>
        <w:spacing w:after="0" w:line="240" w:lineRule="auto"/>
        <w:rPr>
          <w:rFonts w:cs="Tahoma"/>
        </w:rPr>
      </w:pPr>
      <w:r w:rsidRPr="00E66942">
        <w:rPr>
          <w:rFonts w:cs="Tahoma"/>
        </w:rPr>
        <w:t>Licence remote gambling through Operating Licences</w:t>
      </w:r>
    </w:p>
    <w:p w14:paraId="71186516" w14:textId="77777777" w:rsidR="00E25ECA" w:rsidRPr="00E66942" w:rsidRDefault="00E25ECA" w:rsidP="008D6739">
      <w:pPr>
        <w:pStyle w:val="ListParagraph"/>
        <w:numPr>
          <w:ilvl w:val="0"/>
          <w:numId w:val="21"/>
        </w:numPr>
        <w:spacing w:after="0" w:line="240" w:lineRule="auto"/>
        <w:rPr>
          <w:rFonts w:cs="Tahoma"/>
          <w:iCs/>
        </w:rPr>
      </w:pPr>
      <w:r w:rsidRPr="00E66942">
        <w:rPr>
          <w:rFonts w:cs="Tahoma"/>
        </w:rPr>
        <w:t xml:space="preserve">Issue licences in relation to the </w:t>
      </w:r>
      <w:r w:rsidRPr="00E66942">
        <w:rPr>
          <w:rFonts w:cs="Tahoma"/>
          <w:iCs/>
        </w:rPr>
        <w:t xml:space="preserve">manufacture, supply, installation, adaptation, </w:t>
      </w:r>
      <w:proofErr w:type="gramStart"/>
      <w:r w:rsidRPr="00E66942">
        <w:rPr>
          <w:rFonts w:cs="Tahoma"/>
          <w:iCs/>
        </w:rPr>
        <w:t>maintenance</w:t>
      </w:r>
      <w:proofErr w:type="gramEnd"/>
      <w:r w:rsidRPr="00E66942">
        <w:rPr>
          <w:rFonts w:cs="Tahoma"/>
          <w:iCs/>
        </w:rPr>
        <w:t xml:space="preserve"> or repair of gaming machines</w:t>
      </w:r>
    </w:p>
    <w:p w14:paraId="4FEAECA2" w14:textId="77777777" w:rsidR="00253EF7" w:rsidRPr="00253EF7" w:rsidRDefault="00253EF7" w:rsidP="008D6739">
      <w:pPr>
        <w:rPr>
          <w:lang w:eastAsia="en-US"/>
        </w:rPr>
      </w:pPr>
    </w:p>
    <w:p w14:paraId="0284F592" w14:textId="4013A90B" w:rsidR="00AF1C9B" w:rsidRPr="00D20736" w:rsidRDefault="00AF1C9B" w:rsidP="00D20736">
      <w:pPr>
        <w:pStyle w:val="Heading2"/>
        <w:numPr>
          <w:ilvl w:val="0"/>
          <w:numId w:val="45"/>
        </w:numPr>
      </w:pPr>
      <w:r w:rsidRPr="00D20736">
        <w:t>Responsible Authorities</w:t>
      </w:r>
    </w:p>
    <w:p w14:paraId="41CD9909" w14:textId="77777777" w:rsidR="00253EF7" w:rsidRPr="00253EF7" w:rsidRDefault="00253EF7" w:rsidP="008D6739">
      <w:pPr>
        <w:rPr>
          <w:lang w:eastAsia="en-US"/>
        </w:rPr>
      </w:pPr>
    </w:p>
    <w:p w14:paraId="0774D48E" w14:textId="2F08F7FD" w:rsidR="00AF1C9B" w:rsidRDefault="00AF1C9B" w:rsidP="00D20736">
      <w:r w:rsidRPr="00A87BFE">
        <w:t>In exercising this licensing authority’s powers under Section 157(h) of the Act to designate, in writing, a body which is competent to advise the authority about the protection of children from harm, the following principles have been applied:</w:t>
      </w:r>
    </w:p>
    <w:p w14:paraId="6C82F284" w14:textId="0ADD2EDD" w:rsidR="00AF1C9B" w:rsidRDefault="00AF1C9B" w:rsidP="00D20736">
      <w:pPr>
        <w:pStyle w:val="Heading2"/>
        <w:numPr>
          <w:ilvl w:val="0"/>
          <w:numId w:val="45"/>
        </w:numPr>
      </w:pPr>
      <w:r w:rsidRPr="00A87BFE">
        <w:t>Interested parties</w:t>
      </w:r>
    </w:p>
    <w:p w14:paraId="769EA9C3" w14:textId="77777777" w:rsidR="009871AE" w:rsidRPr="00A87BFE" w:rsidRDefault="009871AE" w:rsidP="008D6739">
      <w:pPr>
        <w:pStyle w:val="N3"/>
        <w:numPr>
          <w:ilvl w:val="0"/>
          <w:numId w:val="0"/>
        </w:numPr>
        <w:spacing w:before="0" w:line="240" w:lineRule="auto"/>
        <w:rPr>
          <w:rFonts w:ascii="Arial" w:hAnsi="Arial" w:cs="Tahoma"/>
          <w:b/>
          <w:bCs/>
          <w:sz w:val="22"/>
          <w:szCs w:val="22"/>
        </w:rPr>
      </w:pPr>
    </w:p>
    <w:p w14:paraId="3FE388C3" w14:textId="294E1B67" w:rsidR="00AF1C9B" w:rsidRPr="00A87BFE" w:rsidRDefault="00AF1C9B" w:rsidP="008D6739">
      <w:pPr>
        <w:pStyle w:val="N3"/>
        <w:numPr>
          <w:ilvl w:val="0"/>
          <w:numId w:val="0"/>
        </w:numPr>
        <w:spacing w:before="0" w:line="240" w:lineRule="auto"/>
        <w:rPr>
          <w:rFonts w:ascii="Arial" w:hAnsi="Arial" w:cs="Tahoma"/>
          <w:sz w:val="22"/>
          <w:szCs w:val="22"/>
        </w:rPr>
      </w:pPr>
      <w:r w:rsidRPr="00A87BFE">
        <w:rPr>
          <w:rFonts w:ascii="Arial" w:hAnsi="Arial" w:cs="Tahoma"/>
          <w:sz w:val="22"/>
          <w:szCs w:val="22"/>
        </w:rPr>
        <w:t xml:space="preserve">Interested parties can make representations about licence </w:t>
      </w:r>
      <w:r w:rsidR="00D20736" w:rsidRPr="00A87BFE">
        <w:rPr>
          <w:rFonts w:ascii="Arial" w:hAnsi="Arial" w:cs="Tahoma"/>
          <w:sz w:val="22"/>
          <w:szCs w:val="22"/>
        </w:rPr>
        <w:t>applications or</w:t>
      </w:r>
      <w:r w:rsidRPr="00A87BFE">
        <w:rPr>
          <w:rFonts w:ascii="Arial" w:hAnsi="Arial" w:cs="Tahoma"/>
          <w:sz w:val="22"/>
          <w:szCs w:val="22"/>
        </w:rPr>
        <w:t xml:space="preserve"> apply for a review of an existing licence.  These parties are defined in the Gambling Act 2005 as someone who, in the opinion of the licensing authority which issues the licence or to which the application is made, -</w:t>
      </w:r>
    </w:p>
    <w:p w14:paraId="17028279" w14:textId="77777777" w:rsidR="00AF1C9B" w:rsidRPr="00A87BFE" w:rsidRDefault="00AF1C9B" w:rsidP="008D6739">
      <w:pPr>
        <w:pStyle w:val="N3"/>
        <w:numPr>
          <w:ilvl w:val="0"/>
          <w:numId w:val="2"/>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lives sufficiently close to the premises to be likely to be affect</w:t>
      </w:r>
      <w:r w:rsidR="00356A98">
        <w:rPr>
          <w:rFonts w:ascii="Arial" w:hAnsi="Arial" w:cs="Tahoma"/>
          <w:sz w:val="22"/>
          <w:szCs w:val="22"/>
        </w:rPr>
        <w:t xml:space="preserve">ed by the authorised </w:t>
      </w:r>
      <w:proofErr w:type="gramStart"/>
      <w:r w:rsidR="00356A98">
        <w:rPr>
          <w:rFonts w:ascii="Arial" w:hAnsi="Arial" w:cs="Tahoma"/>
          <w:sz w:val="22"/>
          <w:szCs w:val="22"/>
        </w:rPr>
        <w:t>activities;</w:t>
      </w:r>
      <w:proofErr w:type="gramEnd"/>
    </w:p>
    <w:p w14:paraId="5654296F" w14:textId="77777777" w:rsidR="00AF1C9B" w:rsidRPr="00A87BFE" w:rsidRDefault="00AF1C9B" w:rsidP="008D6739">
      <w:pPr>
        <w:pStyle w:val="N3"/>
        <w:numPr>
          <w:ilvl w:val="0"/>
          <w:numId w:val="2"/>
        </w:numPr>
        <w:tabs>
          <w:tab w:val="clear" w:pos="720"/>
          <w:tab w:val="num" w:pos="360"/>
        </w:tabs>
        <w:spacing w:before="0" w:line="240" w:lineRule="auto"/>
        <w:ind w:hanging="720"/>
        <w:rPr>
          <w:rFonts w:ascii="Arial" w:hAnsi="Arial" w:cs="Tahoma"/>
          <w:sz w:val="22"/>
          <w:szCs w:val="22"/>
        </w:rPr>
      </w:pPr>
      <w:r w:rsidRPr="00A87BFE">
        <w:rPr>
          <w:rFonts w:ascii="Arial" w:hAnsi="Arial" w:cs="Tahoma"/>
          <w:sz w:val="22"/>
          <w:szCs w:val="22"/>
        </w:rPr>
        <w:t>has business interests that might be affect</w:t>
      </w:r>
      <w:r w:rsidR="00356A98">
        <w:rPr>
          <w:rFonts w:ascii="Arial" w:hAnsi="Arial" w:cs="Tahoma"/>
          <w:sz w:val="22"/>
          <w:szCs w:val="22"/>
        </w:rPr>
        <w:t>ed by the authorised activities;</w:t>
      </w:r>
      <w:r w:rsidRPr="00A87BFE">
        <w:rPr>
          <w:rFonts w:ascii="Arial" w:hAnsi="Arial" w:cs="Tahoma"/>
          <w:sz w:val="22"/>
          <w:szCs w:val="22"/>
        </w:rPr>
        <w:t xml:space="preserve"> or</w:t>
      </w:r>
    </w:p>
    <w:p w14:paraId="75C65A1E" w14:textId="77777777" w:rsidR="00AF1C9B" w:rsidRPr="00A87BFE" w:rsidRDefault="00AF1C9B" w:rsidP="008D6739">
      <w:pPr>
        <w:pStyle w:val="N3"/>
        <w:numPr>
          <w:ilvl w:val="0"/>
          <w:numId w:val="2"/>
        </w:numPr>
        <w:tabs>
          <w:tab w:val="clear" w:pos="720"/>
          <w:tab w:val="num" w:pos="360"/>
        </w:tabs>
        <w:spacing w:before="0" w:line="240" w:lineRule="auto"/>
        <w:ind w:hanging="720"/>
        <w:rPr>
          <w:rFonts w:ascii="Arial" w:hAnsi="Arial" w:cs="Tahoma"/>
          <w:sz w:val="22"/>
          <w:szCs w:val="22"/>
        </w:rPr>
      </w:pPr>
      <w:r w:rsidRPr="00A87BFE">
        <w:rPr>
          <w:rFonts w:ascii="Arial" w:hAnsi="Arial" w:cs="Tahoma"/>
          <w:sz w:val="22"/>
          <w:szCs w:val="22"/>
        </w:rPr>
        <w:lastRenderedPageBreak/>
        <w:t>represents persons who satisfy paragraph (a) or (b).</w:t>
      </w:r>
    </w:p>
    <w:p w14:paraId="557C2616" w14:textId="77777777" w:rsidR="00AF1C9B" w:rsidRPr="00A87BFE" w:rsidRDefault="00AF1C9B" w:rsidP="008D6739">
      <w:pPr>
        <w:pStyle w:val="N3"/>
        <w:numPr>
          <w:ilvl w:val="0"/>
          <w:numId w:val="0"/>
        </w:numPr>
        <w:spacing w:before="0" w:line="240" w:lineRule="auto"/>
        <w:rPr>
          <w:rFonts w:ascii="Arial" w:hAnsi="Arial" w:cs="Tahoma"/>
          <w:sz w:val="22"/>
          <w:szCs w:val="22"/>
        </w:rPr>
      </w:pPr>
    </w:p>
    <w:p w14:paraId="16CDF722" w14:textId="77777777" w:rsidR="00AF1C9B" w:rsidRPr="00A87BFE" w:rsidRDefault="00AF1C9B" w:rsidP="008D6739">
      <w:pPr>
        <w:pStyle w:val="N3"/>
        <w:numPr>
          <w:ilvl w:val="0"/>
          <w:numId w:val="0"/>
        </w:numPr>
        <w:spacing w:before="0" w:line="240" w:lineRule="auto"/>
        <w:rPr>
          <w:rFonts w:ascii="Arial" w:hAnsi="Arial" w:cs="Tahoma"/>
          <w:sz w:val="22"/>
          <w:szCs w:val="22"/>
        </w:rPr>
      </w:pPr>
      <w:r w:rsidRPr="00A87BFE">
        <w:rPr>
          <w:rFonts w:ascii="Arial" w:hAnsi="Arial" w:cs="Tahoma"/>
          <w:sz w:val="22"/>
          <w:szCs w:val="22"/>
        </w:rPr>
        <w:t>The licensing authority is required by regulations to state the principles it will apply in exercising its powers under the Gambling Act 2005 to determine whether a person is an interested party.  The principles are:</w:t>
      </w:r>
    </w:p>
    <w:p w14:paraId="768E7E5B" w14:textId="77777777" w:rsidR="00AF1C9B" w:rsidRPr="00A87BFE" w:rsidRDefault="00AF1C9B" w:rsidP="008D6739">
      <w:pPr>
        <w:pStyle w:val="N3"/>
        <w:numPr>
          <w:ilvl w:val="0"/>
          <w:numId w:val="0"/>
        </w:numPr>
        <w:spacing w:before="0" w:line="240" w:lineRule="auto"/>
        <w:rPr>
          <w:rFonts w:ascii="Arial" w:hAnsi="Arial" w:cs="Tahoma"/>
          <w:sz w:val="22"/>
          <w:szCs w:val="22"/>
        </w:rPr>
      </w:pPr>
    </w:p>
    <w:p w14:paraId="5392734D" w14:textId="77777777" w:rsidR="00AF1C9B" w:rsidRPr="00A87BFE" w:rsidRDefault="00AF1C9B" w:rsidP="008D6739">
      <w:pPr>
        <w:pStyle w:val="N3"/>
        <w:numPr>
          <w:ilvl w:val="0"/>
          <w:numId w:val="0"/>
        </w:numPr>
        <w:spacing w:before="0" w:line="240" w:lineRule="auto"/>
        <w:rPr>
          <w:rFonts w:ascii="Arial" w:hAnsi="Arial" w:cs="Tahoma"/>
          <w:sz w:val="22"/>
          <w:szCs w:val="22"/>
        </w:rPr>
      </w:pPr>
      <w:r w:rsidRPr="00A87BFE">
        <w:rPr>
          <w:rFonts w:ascii="Arial" w:hAnsi="Arial" w:cs="Tahoma"/>
          <w:sz w:val="22"/>
          <w:szCs w:val="22"/>
        </w:rPr>
        <w:t>Each case will be decided upon its merits.  This authority will not apply a rigid rule to its decision-making.  It will however consider the following matters as recommended by the Guidance to local authorities:</w:t>
      </w:r>
    </w:p>
    <w:p w14:paraId="345E2FC2" w14:textId="77777777" w:rsidR="00AF1C9B" w:rsidRPr="00A87BFE" w:rsidRDefault="00AF1C9B" w:rsidP="008D6739">
      <w:pPr>
        <w:pStyle w:val="N3"/>
        <w:numPr>
          <w:ilvl w:val="0"/>
          <w:numId w:val="0"/>
        </w:numPr>
        <w:spacing w:before="0" w:line="240" w:lineRule="auto"/>
        <w:rPr>
          <w:rFonts w:ascii="Arial" w:hAnsi="Arial" w:cs="Tahoma"/>
          <w:b/>
          <w:bCs/>
          <w:sz w:val="22"/>
          <w:szCs w:val="22"/>
        </w:rPr>
      </w:pPr>
    </w:p>
    <w:p w14:paraId="1C5AF6B4"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 xml:space="preserve">the size of the </w:t>
      </w:r>
      <w:proofErr w:type="gramStart"/>
      <w:r w:rsidRPr="00A87BFE">
        <w:rPr>
          <w:rFonts w:ascii="Arial" w:hAnsi="Arial" w:cs="Tahoma"/>
          <w:sz w:val="22"/>
          <w:szCs w:val="22"/>
        </w:rPr>
        <w:t>premises</w:t>
      </w:r>
      <w:r w:rsidR="00356A98">
        <w:rPr>
          <w:rFonts w:ascii="Arial" w:hAnsi="Arial" w:cs="Tahoma"/>
          <w:sz w:val="22"/>
          <w:szCs w:val="22"/>
        </w:rPr>
        <w:t>;</w:t>
      </w:r>
      <w:proofErr w:type="gramEnd"/>
    </w:p>
    <w:p w14:paraId="68B706F8"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 xml:space="preserve">the nature of the </w:t>
      </w:r>
      <w:proofErr w:type="gramStart"/>
      <w:r w:rsidRPr="00A87BFE">
        <w:rPr>
          <w:rFonts w:ascii="Arial" w:hAnsi="Arial" w:cs="Tahoma"/>
          <w:sz w:val="22"/>
          <w:szCs w:val="22"/>
        </w:rPr>
        <w:t>premises</w:t>
      </w:r>
      <w:r w:rsidR="00356A98">
        <w:rPr>
          <w:rFonts w:ascii="Arial" w:hAnsi="Arial" w:cs="Tahoma"/>
          <w:sz w:val="22"/>
          <w:szCs w:val="22"/>
        </w:rPr>
        <w:t>;</w:t>
      </w:r>
      <w:proofErr w:type="gramEnd"/>
    </w:p>
    <w:p w14:paraId="50933F0B"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 xml:space="preserve">the distance of the premises from the location of the person making the </w:t>
      </w:r>
      <w:proofErr w:type="gramStart"/>
      <w:r w:rsidRPr="00A87BFE">
        <w:rPr>
          <w:rFonts w:ascii="Arial" w:hAnsi="Arial" w:cs="Tahoma"/>
          <w:sz w:val="22"/>
          <w:szCs w:val="22"/>
        </w:rPr>
        <w:t>representation</w:t>
      </w:r>
      <w:r w:rsidR="00356A98">
        <w:rPr>
          <w:rFonts w:ascii="Arial" w:hAnsi="Arial" w:cs="Tahoma"/>
          <w:sz w:val="22"/>
          <w:szCs w:val="22"/>
        </w:rPr>
        <w:t>;</w:t>
      </w:r>
      <w:proofErr w:type="gramEnd"/>
    </w:p>
    <w:p w14:paraId="3BE678DD"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 xml:space="preserve">the potential impact of the premises (number of customers, routes likely to be taken by those </w:t>
      </w:r>
      <w:r w:rsidR="00356A98">
        <w:rPr>
          <w:rFonts w:ascii="Arial" w:hAnsi="Arial" w:cs="Tahoma"/>
          <w:sz w:val="22"/>
          <w:szCs w:val="22"/>
        </w:rPr>
        <w:t>visiting the establishment</w:t>
      </w:r>
      <w:proofErr w:type="gramStart"/>
      <w:r w:rsidR="00356A98">
        <w:rPr>
          <w:rFonts w:ascii="Arial" w:hAnsi="Arial" w:cs="Tahoma"/>
          <w:sz w:val="22"/>
          <w:szCs w:val="22"/>
        </w:rPr>
        <w:t>);</w:t>
      </w:r>
      <w:proofErr w:type="gramEnd"/>
    </w:p>
    <w:p w14:paraId="13B79765"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the nature of the complainant.  (</w:t>
      </w:r>
      <w:proofErr w:type="gramStart"/>
      <w:r w:rsidRPr="00A87BFE">
        <w:rPr>
          <w:rFonts w:ascii="Arial" w:hAnsi="Arial" w:cs="Tahoma"/>
          <w:sz w:val="22"/>
          <w:szCs w:val="22"/>
        </w:rPr>
        <w:t>not</w:t>
      </w:r>
      <w:proofErr w:type="gramEnd"/>
      <w:r w:rsidRPr="00A87BFE">
        <w:rPr>
          <w:rFonts w:ascii="Arial" w:hAnsi="Arial" w:cs="Tahoma"/>
          <w:sz w:val="22"/>
          <w:szCs w:val="22"/>
        </w:rPr>
        <w:t xml:space="preserve"> the personal characteristics</w:t>
      </w:r>
      <w:r w:rsidR="00356A98">
        <w:rPr>
          <w:rFonts w:ascii="Arial" w:hAnsi="Arial" w:cs="Tahoma"/>
          <w:sz w:val="22"/>
          <w:szCs w:val="22"/>
        </w:rPr>
        <w:t>,</w:t>
      </w:r>
      <w:r w:rsidRPr="00A87BFE">
        <w:rPr>
          <w:rFonts w:ascii="Arial" w:hAnsi="Arial" w:cs="Tahoma"/>
          <w:sz w:val="22"/>
          <w:szCs w:val="22"/>
        </w:rPr>
        <w:t xml:space="preserve"> but the interests of the complainant, which may be relevant to the distance from the premises.  For example, it could be reasonable for an authority to conclude that “sufficiently close to be likely to be affected” could have a different meaning for (a) a private resident (b) a residential school for children with truanting problems and (c) residential hostel for vulnerable adults).</w:t>
      </w:r>
    </w:p>
    <w:p w14:paraId="0537C0C2" w14:textId="77777777" w:rsidR="00AF1C9B" w:rsidRPr="00A87BFE"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the catchment area of the premises (</w:t>
      </w:r>
      <w:proofErr w:type="gramStart"/>
      <w:r w:rsidRPr="00A87BFE">
        <w:rPr>
          <w:rFonts w:ascii="Arial" w:hAnsi="Arial" w:cs="Tahoma"/>
          <w:sz w:val="22"/>
          <w:szCs w:val="22"/>
        </w:rPr>
        <w:t>i.e.</w:t>
      </w:r>
      <w:proofErr w:type="gramEnd"/>
      <w:r w:rsidRPr="00A87BFE">
        <w:rPr>
          <w:rFonts w:ascii="Arial" w:hAnsi="Arial" w:cs="Tahoma"/>
          <w:sz w:val="22"/>
          <w:szCs w:val="22"/>
        </w:rPr>
        <w:t xml:space="preserve"> how far people travel to visit); and</w:t>
      </w:r>
    </w:p>
    <w:p w14:paraId="46EA7565" w14:textId="77777777" w:rsidR="00AF1C9B" w:rsidRDefault="00AF1C9B" w:rsidP="008D6739">
      <w:pPr>
        <w:pStyle w:val="N3"/>
        <w:numPr>
          <w:ilvl w:val="0"/>
          <w:numId w:val="3"/>
        </w:numPr>
        <w:tabs>
          <w:tab w:val="clear" w:pos="720"/>
          <w:tab w:val="num" w:pos="360"/>
        </w:tabs>
        <w:spacing w:before="0" w:line="240" w:lineRule="auto"/>
        <w:ind w:left="360"/>
        <w:rPr>
          <w:rFonts w:ascii="Arial" w:hAnsi="Arial" w:cs="Tahoma"/>
          <w:sz w:val="22"/>
          <w:szCs w:val="22"/>
        </w:rPr>
      </w:pPr>
      <w:r w:rsidRPr="00A87BFE">
        <w:rPr>
          <w:rFonts w:ascii="Arial" w:hAnsi="Arial" w:cs="Tahoma"/>
          <w:sz w:val="22"/>
          <w:szCs w:val="22"/>
        </w:rPr>
        <w:t>whether the person making the representation has business interests in that catchment area, that might be affected.</w:t>
      </w:r>
    </w:p>
    <w:p w14:paraId="2BA66FE5" w14:textId="77777777" w:rsidR="00AF1C9B" w:rsidRDefault="00AF1C9B" w:rsidP="008D6739">
      <w:pPr>
        <w:pStyle w:val="N3"/>
        <w:numPr>
          <w:ilvl w:val="0"/>
          <w:numId w:val="0"/>
        </w:numPr>
        <w:spacing w:before="0" w:line="240" w:lineRule="auto"/>
        <w:rPr>
          <w:rFonts w:ascii="Arial" w:hAnsi="Arial" w:cs="Tahoma"/>
          <w:b/>
          <w:bCs/>
          <w:i/>
          <w:iCs/>
          <w:sz w:val="22"/>
          <w:szCs w:val="22"/>
        </w:rPr>
      </w:pPr>
    </w:p>
    <w:p w14:paraId="2B1F739E" w14:textId="77777777" w:rsidR="00AF1C9B" w:rsidRPr="00CC1AD0" w:rsidRDefault="00AF1C9B" w:rsidP="008D6739">
      <w:pPr>
        <w:pStyle w:val="N3"/>
        <w:numPr>
          <w:ilvl w:val="0"/>
          <w:numId w:val="0"/>
        </w:numPr>
        <w:spacing w:before="0" w:line="240" w:lineRule="auto"/>
        <w:rPr>
          <w:rFonts w:ascii="Arial" w:hAnsi="Arial" w:cs="Tahoma"/>
          <w:bCs/>
          <w:iCs/>
          <w:sz w:val="22"/>
          <w:szCs w:val="22"/>
        </w:rPr>
      </w:pPr>
      <w:r w:rsidRPr="00CC1AD0">
        <w:rPr>
          <w:rFonts w:ascii="Arial" w:hAnsi="Arial" w:cs="Tahoma"/>
          <w:bCs/>
          <w:iCs/>
          <w:sz w:val="22"/>
          <w:szCs w:val="22"/>
        </w:rPr>
        <w:t>It will also consider the Gambling Commission’s Guidance that “has business interests” should be given the widest possible interpretation and include partnerships, charities, faith groups and medical practices.</w:t>
      </w:r>
    </w:p>
    <w:p w14:paraId="70A33C8D" w14:textId="77777777" w:rsidR="00AF1C9B" w:rsidRPr="00CC1AD0" w:rsidRDefault="00AF1C9B" w:rsidP="008D6739">
      <w:pPr>
        <w:pStyle w:val="N3"/>
        <w:numPr>
          <w:ilvl w:val="0"/>
          <w:numId w:val="0"/>
        </w:numPr>
        <w:spacing w:before="0" w:line="240" w:lineRule="auto"/>
        <w:rPr>
          <w:rFonts w:ascii="Arial" w:hAnsi="Arial" w:cs="Tahoma"/>
          <w:sz w:val="22"/>
          <w:szCs w:val="22"/>
        </w:rPr>
      </w:pPr>
    </w:p>
    <w:p w14:paraId="4156EA5A" w14:textId="77777777" w:rsidR="00AF1C9B" w:rsidRPr="00CC1AD0" w:rsidRDefault="00AF1C9B" w:rsidP="008D6739">
      <w:pPr>
        <w:pStyle w:val="N3"/>
        <w:numPr>
          <w:ilvl w:val="0"/>
          <w:numId w:val="0"/>
        </w:numPr>
        <w:spacing w:before="0" w:line="240" w:lineRule="auto"/>
        <w:rPr>
          <w:rFonts w:ascii="Arial" w:hAnsi="Arial" w:cs="Tahoma"/>
          <w:bCs/>
          <w:sz w:val="22"/>
          <w:szCs w:val="22"/>
        </w:rPr>
      </w:pPr>
      <w:r w:rsidRPr="00CC1AD0">
        <w:rPr>
          <w:rFonts w:ascii="Arial" w:hAnsi="Arial" w:cs="Tahoma"/>
          <w:bCs/>
          <w:sz w:val="22"/>
          <w:szCs w:val="22"/>
        </w:rPr>
        <w:t xml:space="preserve">The Gambling Commission has emphasised to licensing authorities, that ‘demand’ cannot be a factor in decisions.  </w:t>
      </w:r>
    </w:p>
    <w:p w14:paraId="3E6965B9" w14:textId="77777777" w:rsidR="00AF1C9B" w:rsidRPr="00A87BFE" w:rsidRDefault="00AF1C9B" w:rsidP="008D6739">
      <w:pPr>
        <w:pStyle w:val="N3"/>
        <w:numPr>
          <w:ilvl w:val="0"/>
          <w:numId w:val="0"/>
        </w:numPr>
        <w:spacing w:before="0" w:line="240" w:lineRule="auto"/>
        <w:rPr>
          <w:rFonts w:ascii="Arial" w:hAnsi="Arial" w:cs="Tahoma"/>
          <w:color w:val="FF00FF"/>
          <w:sz w:val="22"/>
          <w:szCs w:val="22"/>
        </w:rPr>
      </w:pPr>
    </w:p>
    <w:p w14:paraId="6C703AAD" w14:textId="77777777" w:rsidR="00AF1C9B" w:rsidRPr="003C635C" w:rsidRDefault="00AF1C9B" w:rsidP="008D6739">
      <w:pPr>
        <w:pStyle w:val="N3"/>
        <w:numPr>
          <w:ilvl w:val="0"/>
          <w:numId w:val="0"/>
        </w:numPr>
        <w:spacing w:before="0" w:line="240" w:lineRule="auto"/>
        <w:rPr>
          <w:rFonts w:ascii="Arial" w:hAnsi="Arial" w:cs="Tahoma"/>
          <w:sz w:val="22"/>
          <w:szCs w:val="22"/>
        </w:rPr>
      </w:pPr>
      <w:r w:rsidRPr="003C635C">
        <w:rPr>
          <w:rFonts w:ascii="Arial" w:hAnsi="Arial" w:cs="Tahoma"/>
          <w:sz w:val="22"/>
          <w:szCs w:val="22"/>
        </w:rPr>
        <w:t>Guidance also states that moral objections to gambling are not a valid reason to reject applications for premises licences. This is because such objections do not relate</w:t>
      </w:r>
      <w:r w:rsidR="00CC1AD0">
        <w:rPr>
          <w:rFonts w:ascii="Arial" w:hAnsi="Arial" w:cs="Tahoma"/>
          <w:sz w:val="22"/>
          <w:szCs w:val="22"/>
        </w:rPr>
        <w:t xml:space="preserve"> to the licensing objectives</w:t>
      </w:r>
      <w:r w:rsidRPr="003C635C">
        <w:rPr>
          <w:rFonts w:ascii="Arial" w:hAnsi="Arial" w:cs="Tahoma"/>
          <w:sz w:val="22"/>
          <w:szCs w:val="22"/>
        </w:rPr>
        <w:t>.</w:t>
      </w:r>
    </w:p>
    <w:p w14:paraId="04C9220B" w14:textId="77777777" w:rsidR="00AF1C9B" w:rsidRPr="003C635C" w:rsidRDefault="00AF1C9B" w:rsidP="008D6739">
      <w:pPr>
        <w:pStyle w:val="N3"/>
        <w:numPr>
          <w:ilvl w:val="0"/>
          <w:numId w:val="0"/>
        </w:numPr>
        <w:spacing w:before="0" w:line="240" w:lineRule="auto"/>
        <w:rPr>
          <w:rFonts w:ascii="Arial" w:hAnsi="Arial" w:cs="Tahoma"/>
          <w:sz w:val="22"/>
          <w:szCs w:val="22"/>
        </w:rPr>
      </w:pPr>
      <w:r w:rsidRPr="003C635C">
        <w:rPr>
          <w:rFonts w:ascii="Arial" w:hAnsi="Arial" w:cs="Tahoma"/>
          <w:sz w:val="22"/>
          <w:szCs w:val="22"/>
        </w:rPr>
        <w:t>The Gambling Commission has also recommended that the licensing authority state that interested parties include trade associations and trade unions, and residents</w:t>
      </w:r>
      <w:r w:rsidR="009568BF">
        <w:rPr>
          <w:rFonts w:ascii="Arial" w:hAnsi="Arial" w:cs="Tahoma"/>
          <w:sz w:val="22"/>
          <w:szCs w:val="22"/>
        </w:rPr>
        <w:t>’</w:t>
      </w:r>
      <w:r w:rsidRPr="003C635C">
        <w:rPr>
          <w:rFonts w:ascii="Arial" w:hAnsi="Arial" w:cs="Tahoma"/>
          <w:sz w:val="22"/>
          <w:szCs w:val="22"/>
        </w:rPr>
        <w:t xml:space="preserve"> and tenants’ associations.  This authority will not however generally view these bodies as interested parties unless they have a member who can be classed as one under the terms of the Gambling Act 2005 </w:t>
      </w:r>
      <w:proofErr w:type="gramStart"/>
      <w:r w:rsidRPr="003C635C">
        <w:rPr>
          <w:rFonts w:ascii="Arial" w:hAnsi="Arial" w:cs="Tahoma"/>
          <w:sz w:val="22"/>
          <w:szCs w:val="22"/>
        </w:rPr>
        <w:t>i.e.</w:t>
      </w:r>
      <w:proofErr w:type="gramEnd"/>
      <w:r w:rsidRPr="003C635C">
        <w:rPr>
          <w:rFonts w:ascii="Arial" w:hAnsi="Arial" w:cs="Tahoma"/>
          <w:sz w:val="22"/>
          <w:szCs w:val="22"/>
        </w:rPr>
        <w:t xml:space="preserve"> lives sufficiently close to the premises to be likely to be affected by the authorised activities.</w:t>
      </w:r>
    </w:p>
    <w:p w14:paraId="332BA65C" w14:textId="77777777" w:rsidR="00AF1C9B" w:rsidRPr="003C635C" w:rsidRDefault="00AF1C9B" w:rsidP="008D6739">
      <w:pPr>
        <w:pStyle w:val="N3"/>
        <w:numPr>
          <w:ilvl w:val="0"/>
          <w:numId w:val="0"/>
        </w:numPr>
        <w:spacing w:before="0" w:line="240" w:lineRule="auto"/>
        <w:rPr>
          <w:rFonts w:ascii="Arial" w:hAnsi="Arial" w:cs="Tahoma"/>
          <w:sz w:val="22"/>
          <w:szCs w:val="22"/>
        </w:rPr>
      </w:pPr>
    </w:p>
    <w:p w14:paraId="2C99F143" w14:textId="77777777" w:rsidR="00AF1C9B" w:rsidRDefault="00AF1C9B" w:rsidP="008D6739">
      <w:pPr>
        <w:pStyle w:val="N3"/>
        <w:numPr>
          <w:ilvl w:val="0"/>
          <w:numId w:val="0"/>
        </w:numPr>
        <w:spacing w:before="0" w:line="240" w:lineRule="auto"/>
        <w:rPr>
          <w:rFonts w:ascii="Arial" w:hAnsi="Arial" w:cs="Tahoma"/>
          <w:sz w:val="22"/>
          <w:szCs w:val="22"/>
        </w:rPr>
      </w:pPr>
      <w:r w:rsidRPr="003C635C">
        <w:rPr>
          <w:rFonts w:ascii="Arial" w:hAnsi="Arial" w:cs="Tahoma"/>
          <w:sz w:val="22"/>
          <w:szCs w:val="22"/>
        </w:rPr>
        <w:t xml:space="preserve">Interested parties can be represented by other persons such as Ward Councillors, Councillors for the Division, MP’s etc.   Councillors who are part of the Licensing Committee dealing with the licence may not be able to represent an interested party.  They may recommend another councillor who may help.  If an interested party needs advice on this </w:t>
      </w:r>
      <w:proofErr w:type="gramStart"/>
      <w:r w:rsidRPr="003C635C">
        <w:rPr>
          <w:rFonts w:ascii="Arial" w:hAnsi="Arial" w:cs="Tahoma"/>
          <w:sz w:val="22"/>
          <w:szCs w:val="22"/>
        </w:rPr>
        <w:t>matter</w:t>
      </w:r>
      <w:proofErr w:type="gramEnd"/>
      <w:r w:rsidRPr="003C635C">
        <w:rPr>
          <w:rFonts w:ascii="Arial" w:hAnsi="Arial" w:cs="Tahoma"/>
          <w:sz w:val="22"/>
          <w:szCs w:val="22"/>
        </w:rPr>
        <w:t xml:space="preserve"> </w:t>
      </w:r>
      <w:r w:rsidR="004E2AD1">
        <w:rPr>
          <w:rFonts w:ascii="Arial" w:hAnsi="Arial" w:cs="Tahoma"/>
          <w:sz w:val="22"/>
          <w:szCs w:val="22"/>
        </w:rPr>
        <w:t>they</w:t>
      </w:r>
      <w:r w:rsidR="004E2AD1" w:rsidRPr="003C635C">
        <w:rPr>
          <w:rFonts w:ascii="Arial" w:hAnsi="Arial" w:cs="Tahoma"/>
          <w:sz w:val="22"/>
          <w:szCs w:val="22"/>
        </w:rPr>
        <w:t xml:space="preserve"> </w:t>
      </w:r>
      <w:r w:rsidRPr="003C635C">
        <w:rPr>
          <w:rFonts w:ascii="Arial" w:hAnsi="Arial" w:cs="Tahoma"/>
          <w:sz w:val="22"/>
          <w:szCs w:val="22"/>
        </w:rPr>
        <w:t xml:space="preserve">should contact the Council’s Democratic Services section </w:t>
      </w:r>
      <w:r w:rsidRPr="00A00786">
        <w:rPr>
          <w:rFonts w:ascii="Arial" w:hAnsi="Arial" w:cs="Tahoma"/>
          <w:sz w:val="22"/>
          <w:szCs w:val="22"/>
        </w:rPr>
        <w:t>(</w:t>
      </w:r>
      <w:hyperlink r:id="rId15" w:history="1">
        <w:r w:rsidRPr="00A00786">
          <w:rPr>
            <w:rStyle w:val="Hyperlink"/>
            <w:rFonts w:ascii="Arial" w:hAnsi="Arial" w:cs="Tahoma"/>
            <w:iCs/>
            <w:sz w:val="22"/>
          </w:rPr>
          <w:t>committee.section@gravesham.gov.uk</w:t>
        </w:r>
      </w:hyperlink>
      <w:r w:rsidRPr="00A00786">
        <w:rPr>
          <w:rFonts w:ascii="Arial" w:hAnsi="Arial" w:cs="Tahoma"/>
          <w:sz w:val="22"/>
          <w:szCs w:val="22"/>
        </w:rPr>
        <w:t>)</w:t>
      </w:r>
      <w:r w:rsidR="004E2AD1">
        <w:rPr>
          <w:rFonts w:ascii="Arial" w:hAnsi="Arial" w:cs="Tahoma"/>
          <w:sz w:val="22"/>
          <w:szCs w:val="22"/>
        </w:rPr>
        <w:t>.</w:t>
      </w:r>
    </w:p>
    <w:p w14:paraId="28C96903" w14:textId="77777777" w:rsidR="00406792" w:rsidRDefault="00406792" w:rsidP="008D6739">
      <w:pPr>
        <w:pStyle w:val="N3"/>
        <w:numPr>
          <w:ilvl w:val="0"/>
          <w:numId w:val="0"/>
        </w:numPr>
        <w:spacing w:before="0" w:line="240" w:lineRule="auto"/>
        <w:rPr>
          <w:rFonts w:ascii="Arial" w:hAnsi="Arial" w:cs="Tahoma"/>
          <w:sz w:val="22"/>
          <w:szCs w:val="22"/>
        </w:rPr>
      </w:pPr>
    </w:p>
    <w:p w14:paraId="51CE717B" w14:textId="4A9DDAC5" w:rsidR="00AF1C9B" w:rsidRPr="00A87BFE" w:rsidRDefault="00AF1C9B" w:rsidP="00D20736">
      <w:pPr>
        <w:pStyle w:val="Heading2"/>
        <w:numPr>
          <w:ilvl w:val="0"/>
          <w:numId w:val="45"/>
        </w:numPr>
      </w:pPr>
      <w:r w:rsidRPr="00A87BFE">
        <w:t>Exchange of Information</w:t>
      </w:r>
    </w:p>
    <w:p w14:paraId="77E449E8" w14:textId="77777777" w:rsidR="00AF1C9B" w:rsidRPr="00A87BFE" w:rsidRDefault="00AF1C9B" w:rsidP="008D6739">
      <w:pPr>
        <w:pStyle w:val="N3"/>
        <w:numPr>
          <w:ilvl w:val="0"/>
          <w:numId w:val="0"/>
        </w:numPr>
        <w:spacing w:before="0" w:line="240" w:lineRule="auto"/>
        <w:rPr>
          <w:rFonts w:ascii="Arial" w:hAnsi="Arial" w:cs="Tahoma"/>
          <w:b/>
          <w:bCs/>
          <w:sz w:val="22"/>
          <w:szCs w:val="22"/>
        </w:rPr>
      </w:pPr>
    </w:p>
    <w:p w14:paraId="0BF43B67" w14:textId="77777777" w:rsidR="008A7586" w:rsidRDefault="008A7586" w:rsidP="008D6739">
      <w:pPr>
        <w:autoSpaceDE w:val="0"/>
        <w:autoSpaceDN w:val="0"/>
        <w:adjustRightInd w:val="0"/>
        <w:rPr>
          <w:rFonts w:cs="Arial"/>
          <w:color w:val="231F20"/>
          <w:szCs w:val="22"/>
        </w:rPr>
      </w:pPr>
      <w:r w:rsidRPr="00D0527F">
        <w:rPr>
          <w:rFonts w:cs="Tahoma"/>
          <w:szCs w:val="22"/>
        </w:rPr>
        <w:lastRenderedPageBreak/>
        <w:t>The Guidance requires local authorities to include a s</w:t>
      </w:r>
      <w:r w:rsidRPr="00225B2C">
        <w:rPr>
          <w:rFonts w:cs="Tahoma"/>
          <w:szCs w:val="22"/>
        </w:rPr>
        <w:t>e</w:t>
      </w:r>
      <w:r w:rsidRPr="00E02671">
        <w:rPr>
          <w:rFonts w:cs="Tahoma"/>
          <w:szCs w:val="22"/>
        </w:rPr>
        <w:t>ction within their Statement of Policy which sets out</w:t>
      </w:r>
      <w:r w:rsidR="00165386" w:rsidRPr="00E02671">
        <w:rPr>
          <w:rFonts w:cs="Tahoma"/>
          <w:szCs w:val="22"/>
        </w:rPr>
        <w:t>, “</w:t>
      </w:r>
      <w:r w:rsidRPr="00E02671">
        <w:rPr>
          <w:rFonts w:cs="Tahoma"/>
          <w:szCs w:val="22"/>
        </w:rPr>
        <w:t xml:space="preserve">the </w:t>
      </w:r>
      <w:r w:rsidRPr="00E02671">
        <w:rPr>
          <w:rFonts w:cs="Arial"/>
          <w:color w:val="231F20"/>
          <w:szCs w:val="22"/>
        </w:rPr>
        <w:t>principles to be applied by the authority in exercising the functions under Sections</w:t>
      </w:r>
      <w:r w:rsidRPr="001348E0">
        <w:rPr>
          <w:rFonts w:cs="Arial"/>
          <w:color w:val="231F20"/>
          <w:szCs w:val="22"/>
        </w:rPr>
        <w:t xml:space="preserve"> </w:t>
      </w:r>
      <w:r w:rsidRPr="00DB5A5F">
        <w:rPr>
          <w:rFonts w:cs="Arial"/>
          <w:color w:val="231F20"/>
          <w:szCs w:val="22"/>
        </w:rPr>
        <w:t>29 and 30 of the Act with respect to the exchange of information between it and the Commission, and the functions under section 350 of the Act with respect to the exchange of information between it and the other persons listed in Schedule 6 of the Act.”</w:t>
      </w:r>
    </w:p>
    <w:p w14:paraId="3397841C" w14:textId="77777777" w:rsidR="004E2AD1" w:rsidRPr="00DB5A5F" w:rsidRDefault="004E2AD1" w:rsidP="008D6739">
      <w:pPr>
        <w:autoSpaceDE w:val="0"/>
        <w:autoSpaceDN w:val="0"/>
        <w:adjustRightInd w:val="0"/>
        <w:rPr>
          <w:rFonts w:cs="Arial"/>
          <w:color w:val="231F20"/>
          <w:szCs w:val="22"/>
        </w:rPr>
      </w:pPr>
    </w:p>
    <w:p w14:paraId="56B3E7A8" w14:textId="77777777" w:rsidR="008A7586" w:rsidRDefault="00AF1C9B" w:rsidP="008D6739">
      <w:pPr>
        <w:pStyle w:val="N3"/>
        <w:numPr>
          <w:ilvl w:val="0"/>
          <w:numId w:val="0"/>
        </w:numPr>
        <w:spacing w:before="0" w:line="240" w:lineRule="auto"/>
        <w:rPr>
          <w:rFonts w:ascii="Arial" w:hAnsi="Arial" w:cs="Tahoma"/>
          <w:sz w:val="22"/>
          <w:szCs w:val="22"/>
        </w:rPr>
      </w:pPr>
      <w:r w:rsidRPr="004D48B0">
        <w:rPr>
          <w:rFonts w:ascii="Arial" w:hAnsi="Arial" w:cs="Tahoma"/>
          <w:sz w:val="22"/>
          <w:szCs w:val="22"/>
        </w:rPr>
        <w:t xml:space="preserve">In holding and exchanging information with other bodies during the exercise of its functions under the Act </w:t>
      </w:r>
      <w:r w:rsidRPr="004E2AD1">
        <w:rPr>
          <w:rFonts w:ascii="Arial" w:hAnsi="Arial" w:cs="Arial"/>
          <w:sz w:val="22"/>
          <w:szCs w:val="22"/>
        </w:rPr>
        <w:t>th</w:t>
      </w:r>
      <w:r w:rsidR="00D0527F" w:rsidRPr="00C93293">
        <w:rPr>
          <w:rFonts w:ascii="Arial" w:hAnsi="Arial" w:cs="Arial"/>
          <w:sz w:val="22"/>
          <w:szCs w:val="22"/>
        </w:rPr>
        <w:t>is</w:t>
      </w:r>
      <w:r w:rsidRPr="004D48B0">
        <w:rPr>
          <w:rFonts w:ascii="Arial" w:hAnsi="Arial" w:cs="Tahoma"/>
          <w:sz w:val="22"/>
          <w:szCs w:val="22"/>
        </w:rPr>
        <w:t xml:space="preserve"> licensing authority will act in accordance with the provis</w:t>
      </w:r>
      <w:r w:rsidR="00213A77">
        <w:rPr>
          <w:rFonts w:ascii="Arial" w:hAnsi="Arial" w:cs="Tahoma"/>
          <w:sz w:val="22"/>
          <w:szCs w:val="22"/>
        </w:rPr>
        <w:t>ions of the Act</w:t>
      </w:r>
      <w:r w:rsidRPr="004D48B0">
        <w:rPr>
          <w:rFonts w:ascii="Arial" w:hAnsi="Arial" w:cs="Tahoma"/>
          <w:sz w:val="22"/>
          <w:szCs w:val="22"/>
        </w:rPr>
        <w:t xml:space="preserve">, the Data Protection principles as set out in the </w:t>
      </w:r>
      <w:r w:rsidR="004E2AD1">
        <w:rPr>
          <w:rFonts w:ascii="Arial" w:hAnsi="Arial" w:cs="Tahoma"/>
          <w:sz w:val="22"/>
          <w:szCs w:val="22"/>
        </w:rPr>
        <w:t xml:space="preserve">General Data Protection Regulation, </w:t>
      </w:r>
      <w:r w:rsidRPr="004D48B0">
        <w:rPr>
          <w:rFonts w:ascii="Arial" w:hAnsi="Arial" w:cs="Tahoma"/>
          <w:sz w:val="22"/>
          <w:szCs w:val="22"/>
        </w:rPr>
        <w:t>Data Protection Act</w:t>
      </w:r>
      <w:r w:rsidR="004E2AD1">
        <w:rPr>
          <w:rFonts w:ascii="Arial" w:hAnsi="Arial" w:cs="Tahoma"/>
          <w:sz w:val="22"/>
          <w:szCs w:val="22"/>
        </w:rPr>
        <w:t>s,</w:t>
      </w:r>
      <w:r w:rsidRPr="00331932">
        <w:rPr>
          <w:rFonts w:ascii="Arial" w:hAnsi="Arial" w:cs="Tahoma"/>
          <w:sz w:val="22"/>
          <w:szCs w:val="22"/>
        </w:rPr>
        <w:t xml:space="preserve"> and its duties under the Freedom of Information Act 2000.  </w:t>
      </w:r>
    </w:p>
    <w:p w14:paraId="4ECB0ECB" w14:textId="77777777" w:rsidR="004E2AD1" w:rsidRPr="0093418B" w:rsidRDefault="004E2AD1" w:rsidP="008D6739">
      <w:pPr>
        <w:pStyle w:val="N3"/>
        <w:numPr>
          <w:ilvl w:val="0"/>
          <w:numId w:val="0"/>
        </w:numPr>
        <w:spacing w:before="0" w:line="240" w:lineRule="auto"/>
        <w:rPr>
          <w:rFonts w:ascii="Arial" w:hAnsi="Arial" w:cs="Tahoma"/>
          <w:sz w:val="22"/>
          <w:szCs w:val="22"/>
        </w:rPr>
      </w:pPr>
    </w:p>
    <w:p w14:paraId="5F0357C3" w14:textId="77777777" w:rsidR="00AF1C9B" w:rsidRPr="0093418B" w:rsidRDefault="00AF1C9B" w:rsidP="008D6739">
      <w:pPr>
        <w:pStyle w:val="N3"/>
        <w:numPr>
          <w:ilvl w:val="0"/>
          <w:numId w:val="0"/>
        </w:numPr>
        <w:spacing w:before="0" w:line="240" w:lineRule="auto"/>
        <w:rPr>
          <w:rFonts w:ascii="Arial" w:hAnsi="Arial" w:cs="Tahoma"/>
          <w:sz w:val="22"/>
          <w:szCs w:val="22"/>
        </w:rPr>
      </w:pPr>
      <w:r w:rsidRPr="0093418B">
        <w:rPr>
          <w:rFonts w:ascii="Arial" w:hAnsi="Arial" w:cs="Tahoma"/>
          <w:sz w:val="22"/>
          <w:szCs w:val="22"/>
        </w:rPr>
        <w:t>Th</w:t>
      </w:r>
      <w:r w:rsidR="00D0527F" w:rsidRPr="0093418B">
        <w:rPr>
          <w:rFonts w:ascii="Arial" w:hAnsi="Arial" w:cs="Tahoma"/>
          <w:sz w:val="22"/>
          <w:szCs w:val="22"/>
        </w:rPr>
        <w:t>is</w:t>
      </w:r>
      <w:r w:rsidRPr="0093418B">
        <w:rPr>
          <w:rFonts w:ascii="Arial" w:hAnsi="Arial" w:cs="Tahoma"/>
          <w:sz w:val="22"/>
          <w:szCs w:val="22"/>
        </w:rPr>
        <w:t xml:space="preserve"> licensing authority will </w:t>
      </w:r>
      <w:r w:rsidR="00D0527F" w:rsidRPr="0093418B">
        <w:rPr>
          <w:rFonts w:ascii="Arial" w:hAnsi="Arial" w:cs="Tahoma"/>
          <w:sz w:val="22"/>
          <w:szCs w:val="22"/>
        </w:rPr>
        <w:t xml:space="preserve">also </w:t>
      </w:r>
      <w:r w:rsidRPr="0093418B">
        <w:rPr>
          <w:rFonts w:ascii="Arial" w:hAnsi="Arial" w:cs="Tahoma"/>
          <w:sz w:val="22"/>
          <w:szCs w:val="22"/>
        </w:rPr>
        <w:t>have regard to any Guidance issued by the Gambling Commission to Local Authorities on this matter as well as any relevant regulations issued by the Secretary of State under the powers provided in the Gambling Act 2005</w:t>
      </w:r>
    </w:p>
    <w:p w14:paraId="1E4AC1C3" w14:textId="77777777" w:rsidR="00D0527F" w:rsidRPr="0093418B" w:rsidRDefault="00AF1C9B" w:rsidP="008D6739">
      <w:pPr>
        <w:rPr>
          <w:rFonts w:cs="Arial"/>
          <w:color w:val="000000"/>
          <w:szCs w:val="22"/>
        </w:rPr>
      </w:pPr>
      <w:r w:rsidRPr="0093418B">
        <w:rPr>
          <w:szCs w:val="22"/>
        </w:rPr>
        <w:t> </w:t>
      </w:r>
    </w:p>
    <w:p w14:paraId="34F81B39" w14:textId="77777777" w:rsidR="008A7586" w:rsidRPr="00D0527F" w:rsidRDefault="008A7586" w:rsidP="008D6739">
      <w:pPr>
        <w:rPr>
          <w:szCs w:val="22"/>
        </w:rPr>
      </w:pPr>
      <w:r w:rsidRPr="0093418B">
        <w:rPr>
          <w:rFonts w:cs="Arial"/>
          <w:color w:val="000000"/>
          <w:szCs w:val="22"/>
        </w:rPr>
        <w:t xml:space="preserve">Any protocols established </w:t>
      </w:r>
      <w:proofErr w:type="gramStart"/>
      <w:r w:rsidR="00D0527F" w:rsidRPr="0093418B">
        <w:rPr>
          <w:rFonts w:cs="Arial"/>
          <w:color w:val="000000"/>
          <w:szCs w:val="22"/>
        </w:rPr>
        <w:t>with regard to</w:t>
      </w:r>
      <w:proofErr w:type="gramEnd"/>
      <w:r w:rsidRPr="0093418B">
        <w:rPr>
          <w:rFonts w:cs="Arial"/>
          <w:color w:val="000000"/>
          <w:szCs w:val="22"/>
        </w:rPr>
        <w:t xml:space="preserve"> information exchange with other bodies will be made available.</w:t>
      </w:r>
    </w:p>
    <w:p w14:paraId="2D393B31" w14:textId="77777777" w:rsidR="008A7586" w:rsidRDefault="008A7586" w:rsidP="008D6739">
      <w:pPr>
        <w:rPr>
          <w:szCs w:val="22"/>
        </w:rPr>
      </w:pPr>
    </w:p>
    <w:p w14:paraId="07A08658" w14:textId="73766D33" w:rsidR="00D70DD5" w:rsidRDefault="00D70DD5" w:rsidP="00D20736">
      <w:pPr>
        <w:pStyle w:val="Heading2"/>
        <w:numPr>
          <w:ilvl w:val="0"/>
          <w:numId w:val="45"/>
        </w:numPr>
      </w:pPr>
      <w:r w:rsidRPr="002A27F9">
        <w:t xml:space="preserve">Enforcement </w:t>
      </w:r>
    </w:p>
    <w:p w14:paraId="344E92A5" w14:textId="77777777" w:rsidR="00D70DD5" w:rsidRPr="002A27F9" w:rsidRDefault="00D70DD5" w:rsidP="008D6739">
      <w:pPr>
        <w:rPr>
          <w:rFonts w:cs="Arial"/>
          <w:b/>
          <w:bCs/>
          <w:color w:val="000000"/>
        </w:rPr>
      </w:pPr>
    </w:p>
    <w:p w14:paraId="455C9204" w14:textId="77777777" w:rsidR="00D70DD5" w:rsidRPr="002A27F9" w:rsidRDefault="00D70DD5" w:rsidP="008D6739">
      <w:pPr>
        <w:autoSpaceDE w:val="0"/>
        <w:autoSpaceDN w:val="0"/>
        <w:adjustRightInd w:val="0"/>
        <w:rPr>
          <w:rFonts w:cs="Arial"/>
          <w:color w:val="000000"/>
        </w:rPr>
      </w:pPr>
      <w:r w:rsidRPr="002A27F9">
        <w:rPr>
          <w:rFonts w:cs="Arial"/>
          <w:color w:val="000000"/>
        </w:rPr>
        <w:t>Licensing authorities are required by regulation under the Gambling Act 2005</w:t>
      </w:r>
      <w:r w:rsidR="00180CD9">
        <w:rPr>
          <w:rFonts w:cs="Arial"/>
          <w:color w:val="000000"/>
        </w:rPr>
        <w:t>,</w:t>
      </w:r>
      <w:r w:rsidRPr="002A27F9">
        <w:rPr>
          <w:rFonts w:cs="Arial"/>
          <w:color w:val="000000"/>
        </w:rPr>
        <w:t xml:space="preserve"> to state the principles to be applied by the authority in exercising the functions under Part 15 of the Act</w:t>
      </w:r>
      <w:r w:rsidR="008E4BCE">
        <w:rPr>
          <w:rFonts w:cs="Arial"/>
          <w:color w:val="000000"/>
        </w:rPr>
        <w:t>,</w:t>
      </w:r>
      <w:r w:rsidRPr="002A27F9">
        <w:rPr>
          <w:rFonts w:cs="Arial"/>
          <w:color w:val="000000"/>
        </w:rPr>
        <w:t xml:space="preserve"> with respect to the inspection of premises; and the powers under section 346 of the Act to institute criminal proceedings in respect of the offences specified. </w:t>
      </w:r>
    </w:p>
    <w:p w14:paraId="0B5A87A3" w14:textId="77777777" w:rsidR="00D70DD5" w:rsidRPr="002A27F9" w:rsidRDefault="00D70DD5" w:rsidP="008D6739">
      <w:pPr>
        <w:autoSpaceDE w:val="0"/>
        <w:autoSpaceDN w:val="0"/>
        <w:adjustRightInd w:val="0"/>
        <w:rPr>
          <w:rFonts w:cs="Arial"/>
          <w:color w:val="000000"/>
        </w:rPr>
      </w:pPr>
    </w:p>
    <w:p w14:paraId="2B122613" w14:textId="77777777" w:rsidR="00D70DD5" w:rsidRPr="002A27F9" w:rsidRDefault="00D70DD5" w:rsidP="008D6739">
      <w:pPr>
        <w:autoSpaceDE w:val="0"/>
        <w:autoSpaceDN w:val="0"/>
        <w:adjustRightInd w:val="0"/>
        <w:rPr>
          <w:rFonts w:cs="Arial"/>
          <w:color w:val="000000"/>
        </w:rPr>
      </w:pPr>
      <w:r w:rsidRPr="002A27F9">
        <w:rPr>
          <w:rFonts w:cs="Arial"/>
          <w:color w:val="000000"/>
        </w:rPr>
        <w:t>This licensing authority’s principles are that it will:</w:t>
      </w:r>
    </w:p>
    <w:p w14:paraId="724B60AB" w14:textId="77777777" w:rsidR="00D70DD5" w:rsidRPr="002A27F9" w:rsidRDefault="00D70DD5" w:rsidP="008D6739">
      <w:pPr>
        <w:autoSpaceDE w:val="0"/>
        <w:autoSpaceDN w:val="0"/>
        <w:adjustRightInd w:val="0"/>
        <w:rPr>
          <w:rFonts w:cs="Arial"/>
          <w:color w:val="000000"/>
        </w:rPr>
      </w:pPr>
    </w:p>
    <w:p w14:paraId="50C8820C" w14:textId="77777777" w:rsidR="00D70DD5" w:rsidRPr="002A27F9" w:rsidRDefault="00D70DD5" w:rsidP="008D6739">
      <w:pPr>
        <w:pStyle w:val="ListParagraph"/>
        <w:numPr>
          <w:ilvl w:val="0"/>
          <w:numId w:val="14"/>
        </w:numPr>
        <w:autoSpaceDE w:val="0"/>
        <w:autoSpaceDN w:val="0"/>
        <w:adjustRightInd w:val="0"/>
        <w:spacing w:after="0" w:line="240" w:lineRule="auto"/>
        <w:rPr>
          <w:color w:val="000000"/>
        </w:rPr>
      </w:pPr>
      <w:r w:rsidRPr="002A27F9">
        <w:t xml:space="preserve">Act in accordance with the relevant legislation and guidance from the Gambling </w:t>
      </w:r>
      <w:proofErr w:type="gramStart"/>
      <w:r w:rsidRPr="002A27F9">
        <w:t>Commission;</w:t>
      </w:r>
      <w:proofErr w:type="gramEnd"/>
    </w:p>
    <w:p w14:paraId="3731DF00" w14:textId="77777777" w:rsidR="00D70DD5" w:rsidRPr="002A27F9" w:rsidRDefault="00D70DD5" w:rsidP="008D6739">
      <w:pPr>
        <w:pStyle w:val="ListParagraph"/>
        <w:numPr>
          <w:ilvl w:val="0"/>
          <w:numId w:val="14"/>
        </w:numPr>
        <w:autoSpaceDE w:val="0"/>
        <w:autoSpaceDN w:val="0"/>
        <w:adjustRightInd w:val="0"/>
        <w:spacing w:after="0" w:line="240" w:lineRule="auto"/>
        <w:rPr>
          <w:color w:val="000000"/>
        </w:rPr>
      </w:pPr>
      <w:r w:rsidRPr="002A27F9">
        <w:t>Adopt the principles of better regulation set o</w:t>
      </w:r>
      <w:r w:rsidR="00180CD9">
        <w:t>ut in the Regulators’ Code; and</w:t>
      </w:r>
    </w:p>
    <w:p w14:paraId="0F44D846" w14:textId="77777777" w:rsidR="00D70DD5" w:rsidRPr="002A27F9" w:rsidRDefault="00D70DD5" w:rsidP="008D6739">
      <w:pPr>
        <w:pStyle w:val="ListParagraph"/>
        <w:numPr>
          <w:ilvl w:val="0"/>
          <w:numId w:val="14"/>
        </w:numPr>
        <w:autoSpaceDE w:val="0"/>
        <w:autoSpaceDN w:val="0"/>
        <w:adjustRightInd w:val="0"/>
        <w:spacing w:after="0" w:line="240" w:lineRule="auto"/>
        <w:rPr>
          <w:color w:val="000000"/>
        </w:rPr>
      </w:pPr>
      <w:r w:rsidRPr="002A27F9">
        <w:rPr>
          <w:color w:val="000000"/>
        </w:rPr>
        <w:t>Endeavour to avoid duplication with other regulatory regimes so far as possible</w:t>
      </w:r>
    </w:p>
    <w:p w14:paraId="5F299DAA" w14:textId="77777777" w:rsidR="00D70DD5" w:rsidRPr="00180CD9" w:rsidRDefault="00D70DD5" w:rsidP="008D6739">
      <w:pPr>
        <w:autoSpaceDE w:val="0"/>
        <w:autoSpaceDN w:val="0"/>
        <w:adjustRightInd w:val="0"/>
        <w:rPr>
          <w:color w:val="000000"/>
        </w:rPr>
      </w:pPr>
    </w:p>
    <w:p w14:paraId="5A92715A" w14:textId="77777777" w:rsidR="00D70DD5" w:rsidRPr="002A27F9" w:rsidRDefault="00D70DD5" w:rsidP="008D6739">
      <w:pPr>
        <w:pStyle w:val="ListParagraph"/>
        <w:autoSpaceDE w:val="0"/>
        <w:autoSpaceDN w:val="0"/>
        <w:adjustRightInd w:val="0"/>
        <w:spacing w:after="0" w:line="240" w:lineRule="auto"/>
        <w:ind w:left="0"/>
        <w:rPr>
          <w:color w:val="000000"/>
        </w:rPr>
      </w:pPr>
      <w:r w:rsidRPr="002A27F9">
        <w:t>I</w:t>
      </w:r>
      <w:r w:rsidRPr="002A27F9">
        <w:rPr>
          <w:color w:val="000000"/>
        </w:rPr>
        <w:t>n doing so, this authority will endeavour to be:</w:t>
      </w:r>
    </w:p>
    <w:p w14:paraId="3F13676E" w14:textId="77777777" w:rsidR="00D70DD5" w:rsidRPr="002A27F9" w:rsidRDefault="00D70DD5" w:rsidP="008D6739">
      <w:pPr>
        <w:autoSpaceDE w:val="0"/>
        <w:autoSpaceDN w:val="0"/>
        <w:adjustRightInd w:val="0"/>
        <w:rPr>
          <w:rFonts w:cs="Arial"/>
          <w:color w:val="000000"/>
        </w:rPr>
      </w:pPr>
    </w:p>
    <w:p w14:paraId="6673C9B7" w14:textId="77777777" w:rsidR="00D70DD5" w:rsidRPr="002A27F9" w:rsidRDefault="00D70DD5" w:rsidP="008D6739">
      <w:pPr>
        <w:pStyle w:val="ListParagraph"/>
        <w:numPr>
          <w:ilvl w:val="0"/>
          <w:numId w:val="13"/>
        </w:numPr>
        <w:autoSpaceDE w:val="0"/>
        <w:autoSpaceDN w:val="0"/>
        <w:adjustRightInd w:val="0"/>
        <w:spacing w:after="0" w:line="240" w:lineRule="auto"/>
        <w:rPr>
          <w:color w:val="000000"/>
        </w:rPr>
      </w:pPr>
      <w:r w:rsidRPr="002A27F9">
        <w:rPr>
          <w:b/>
          <w:bCs/>
          <w:color w:val="000000"/>
        </w:rPr>
        <w:t>Proportionate</w:t>
      </w:r>
      <w:r w:rsidRPr="002A27F9">
        <w:rPr>
          <w:color w:val="000000"/>
        </w:rPr>
        <w:t xml:space="preserve">: regulators should only intervene when necessary: remedies should be appropriate to the risk posed, and costs identified and </w:t>
      </w:r>
      <w:proofErr w:type="gramStart"/>
      <w:r w:rsidRPr="002A27F9">
        <w:rPr>
          <w:color w:val="000000"/>
        </w:rPr>
        <w:t>minimised;</w:t>
      </w:r>
      <w:proofErr w:type="gramEnd"/>
      <w:r w:rsidRPr="002A27F9">
        <w:rPr>
          <w:color w:val="000000"/>
        </w:rPr>
        <w:t xml:space="preserve"> </w:t>
      </w:r>
    </w:p>
    <w:p w14:paraId="030E5AC2" w14:textId="77777777" w:rsidR="00D70DD5" w:rsidRPr="002A27F9" w:rsidRDefault="00D70DD5" w:rsidP="008D6739">
      <w:pPr>
        <w:pStyle w:val="ListParagraph"/>
        <w:numPr>
          <w:ilvl w:val="0"/>
          <w:numId w:val="13"/>
        </w:numPr>
        <w:autoSpaceDE w:val="0"/>
        <w:autoSpaceDN w:val="0"/>
        <w:adjustRightInd w:val="0"/>
        <w:spacing w:after="0" w:line="240" w:lineRule="auto"/>
        <w:rPr>
          <w:color w:val="000000"/>
        </w:rPr>
      </w:pPr>
      <w:r w:rsidRPr="002A27F9">
        <w:rPr>
          <w:b/>
          <w:bCs/>
          <w:color w:val="000000"/>
        </w:rPr>
        <w:t>Accountable</w:t>
      </w:r>
      <w:r w:rsidRPr="002A27F9">
        <w:rPr>
          <w:color w:val="000000"/>
        </w:rPr>
        <w:t xml:space="preserve">: regulators must be able to justify decisions, and be subject to public </w:t>
      </w:r>
      <w:proofErr w:type="gramStart"/>
      <w:r w:rsidRPr="002A27F9">
        <w:rPr>
          <w:color w:val="000000"/>
        </w:rPr>
        <w:t>scrutiny;</w:t>
      </w:r>
      <w:proofErr w:type="gramEnd"/>
      <w:r w:rsidRPr="002A27F9">
        <w:rPr>
          <w:color w:val="000000"/>
        </w:rPr>
        <w:t xml:space="preserve"> </w:t>
      </w:r>
    </w:p>
    <w:p w14:paraId="58BC7FD2" w14:textId="77777777" w:rsidR="00D70DD5" w:rsidRPr="002A27F9" w:rsidRDefault="00D70DD5" w:rsidP="008D6739">
      <w:pPr>
        <w:pStyle w:val="ListParagraph"/>
        <w:numPr>
          <w:ilvl w:val="0"/>
          <w:numId w:val="13"/>
        </w:numPr>
        <w:autoSpaceDE w:val="0"/>
        <w:autoSpaceDN w:val="0"/>
        <w:adjustRightInd w:val="0"/>
        <w:spacing w:after="0" w:line="240" w:lineRule="auto"/>
        <w:rPr>
          <w:color w:val="000000"/>
        </w:rPr>
      </w:pPr>
      <w:r w:rsidRPr="002A27F9">
        <w:rPr>
          <w:b/>
          <w:bCs/>
          <w:color w:val="000000"/>
        </w:rPr>
        <w:t>Consistent</w:t>
      </w:r>
      <w:r w:rsidRPr="002A27F9">
        <w:rPr>
          <w:color w:val="000000"/>
        </w:rPr>
        <w:t xml:space="preserve">: rules and standards must be joined up and implemented </w:t>
      </w:r>
      <w:proofErr w:type="gramStart"/>
      <w:r w:rsidRPr="002A27F9">
        <w:rPr>
          <w:color w:val="000000"/>
        </w:rPr>
        <w:t>fairly;</w:t>
      </w:r>
      <w:proofErr w:type="gramEnd"/>
      <w:r w:rsidRPr="002A27F9">
        <w:rPr>
          <w:color w:val="000000"/>
        </w:rPr>
        <w:t xml:space="preserve"> </w:t>
      </w:r>
    </w:p>
    <w:p w14:paraId="52806FBC" w14:textId="77777777" w:rsidR="00D70DD5" w:rsidRPr="002A27F9" w:rsidRDefault="00D70DD5" w:rsidP="008D6739">
      <w:pPr>
        <w:pStyle w:val="ListParagraph"/>
        <w:numPr>
          <w:ilvl w:val="0"/>
          <w:numId w:val="13"/>
        </w:numPr>
        <w:autoSpaceDE w:val="0"/>
        <w:autoSpaceDN w:val="0"/>
        <w:adjustRightInd w:val="0"/>
        <w:spacing w:after="0" w:line="240" w:lineRule="auto"/>
      </w:pPr>
      <w:r w:rsidRPr="002A27F9">
        <w:rPr>
          <w:b/>
          <w:bCs/>
        </w:rPr>
        <w:t>Transparent</w:t>
      </w:r>
      <w:r w:rsidRPr="002A27F9">
        <w:t xml:space="preserve">: regulators should be open, and keep regulations simple and user friendly; and </w:t>
      </w:r>
    </w:p>
    <w:p w14:paraId="244B64FA" w14:textId="77777777" w:rsidR="00D70DD5" w:rsidRPr="002A27F9" w:rsidRDefault="00D70DD5" w:rsidP="008D6739">
      <w:pPr>
        <w:pStyle w:val="ListParagraph"/>
        <w:numPr>
          <w:ilvl w:val="0"/>
          <w:numId w:val="13"/>
        </w:numPr>
        <w:autoSpaceDE w:val="0"/>
        <w:autoSpaceDN w:val="0"/>
        <w:adjustRightInd w:val="0"/>
        <w:spacing w:after="0" w:line="240" w:lineRule="auto"/>
      </w:pPr>
      <w:r w:rsidRPr="002A27F9">
        <w:rPr>
          <w:b/>
          <w:bCs/>
        </w:rPr>
        <w:t>Targeted</w:t>
      </w:r>
      <w:r w:rsidRPr="002A27F9">
        <w:t xml:space="preserve">: regulation should be focused on the problem, and minimise side effects </w:t>
      </w:r>
    </w:p>
    <w:p w14:paraId="7B6D90F3" w14:textId="77777777" w:rsidR="00D70DD5" w:rsidRDefault="00D70DD5" w:rsidP="008D6739">
      <w:pPr>
        <w:autoSpaceDE w:val="0"/>
        <w:autoSpaceDN w:val="0"/>
        <w:adjustRightInd w:val="0"/>
        <w:rPr>
          <w:rFonts w:cs="Arial"/>
        </w:rPr>
      </w:pPr>
    </w:p>
    <w:p w14:paraId="355EBB14" w14:textId="77777777" w:rsidR="00D70DD5" w:rsidRDefault="00D70DD5" w:rsidP="008D6739">
      <w:pPr>
        <w:autoSpaceDE w:val="0"/>
        <w:autoSpaceDN w:val="0"/>
        <w:adjustRightInd w:val="0"/>
        <w:rPr>
          <w:rFonts w:cs="Arial"/>
        </w:rPr>
      </w:pPr>
      <w:r>
        <w:rPr>
          <w:rFonts w:cs="Arial"/>
        </w:rPr>
        <w:t>Additionally, this authority recognises the importance</w:t>
      </w:r>
      <w:r w:rsidRPr="002856ED">
        <w:t xml:space="preserve"> </w:t>
      </w:r>
      <w:r>
        <w:t xml:space="preserve">of not placing unnecessary regulatory burdens upon businesses and will aim to </w:t>
      </w:r>
      <w:r>
        <w:rPr>
          <w:rFonts w:cs="Arial"/>
        </w:rPr>
        <w:t>carry out its regulatory activities in a way that supports compliance and growth.</w:t>
      </w:r>
    </w:p>
    <w:p w14:paraId="0E3BD166" w14:textId="77777777" w:rsidR="00D70DD5" w:rsidRPr="002A27F9" w:rsidRDefault="00D70DD5" w:rsidP="008D6739">
      <w:pPr>
        <w:autoSpaceDE w:val="0"/>
        <w:autoSpaceDN w:val="0"/>
        <w:adjustRightInd w:val="0"/>
        <w:rPr>
          <w:rFonts w:cs="Arial"/>
        </w:rPr>
      </w:pPr>
    </w:p>
    <w:p w14:paraId="27DCF572" w14:textId="77777777" w:rsidR="00D70DD5" w:rsidRPr="002A27F9" w:rsidRDefault="00D70DD5" w:rsidP="008D6739">
      <w:pPr>
        <w:autoSpaceDE w:val="0"/>
        <w:autoSpaceDN w:val="0"/>
        <w:adjustRightInd w:val="0"/>
        <w:rPr>
          <w:rFonts w:cs="Arial"/>
        </w:rPr>
      </w:pPr>
      <w:r w:rsidRPr="002A27F9">
        <w:rPr>
          <w:rFonts w:cs="Arial"/>
        </w:rPr>
        <w:lastRenderedPageBreak/>
        <w:t>The main enforcement and compliance role for this licensing authority in terms of the Gambling Act 2005 will be to ensure compliance with the Premises Licences and other permissions which i</w:t>
      </w:r>
      <w:r w:rsidR="00180CD9">
        <w:rPr>
          <w:rFonts w:cs="Arial"/>
        </w:rPr>
        <w:t>t</w:t>
      </w:r>
      <w:r w:rsidRPr="002A27F9">
        <w:rPr>
          <w:rFonts w:cs="Arial"/>
        </w:rPr>
        <w:t xml:space="preserve"> authorises. </w:t>
      </w:r>
    </w:p>
    <w:p w14:paraId="62C0E383" w14:textId="77777777" w:rsidR="00D70DD5" w:rsidRPr="002A27F9" w:rsidRDefault="00D70DD5" w:rsidP="008D6739">
      <w:pPr>
        <w:autoSpaceDE w:val="0"/>
        <w:autoSpaceDN w:val="0"/>
        <w:adjustRightInd w:val="0"/>
        <w:rPr>
          <w:rFonts w:cs="Arial"/>
        </w:rPr>
      </w:pPr>
    </w:p>
    <w:p w14:paraId="1CE51546" w14:textId="77777777" w:rsidR="00404F8C" w:rsidRDefault="00D70DD5" w:rsidP="00404F8C">
      <w:pPr>
        <w:autoSpaceDE w:val="0"/>
        <w:autoSpaceDN w:val="0"/>
        <w:adjustRightInd w:val="0"/>
        <w:rPr>
          <w:rFonts w:cs="Arial"/>
          <w:bCs/>
          <w:iCs/>
        </w:rPr>
      </w:pPr>
      <w:r w:rsidRPr="002A27F9">
        <w:rPr>
          <w:rFonts w:cs="Arial"/>
        </w:rPr>
        <w:t xml:space="preserve">The Gambling Commission will be the enforcement body for the Operator and Personal Licences. </w:t>
      </w:r>
      <w:r w:rsidR="008D6739">
        <w:rPr>
          <w:rFonts w:cs="Arial"/>
        </w:rPr>
        <w:t>Any</w:t>
      </w:r>
      <w:r w:rsidRPr="008D6739">
        <w:rPr>
          <w:rFonts w:cs="Arial"/>
          <w:bCs/>
          <w:iCs/>
        </w:rPr>
        <w:t xml:space="preserve"> concerns about manufacture, supply or repair of gaming machines are not dealt with by the Licensing Authority but should be notified to the Gambling Commission</w:t>
      </w:r>
      <w:r w:rsidR="00404F8C">
        <w:rPr>
          <w:rFonts w:cs="Arial"/>
          <w:bCs/>
          <w:iCs/>
        </w:rPr>
        <w:t>.</w:t>
      </w:r>
    </w:p>
    <w:p w14:paraId="1B6DDB80" w14:textId="77777777" w:rsidR="00404F8C" w:rsidRDefault="00404F8C" w:rsidP="00404F8C">
      <w:pPr>
        <w:autoSpaceDE w:val="0"/>
        <w:autoSpaceDN w:val="0"/>
        <w:adjustRightInd w:val="0"/>
        <w:rPr>
          <w:rFonts w:cs="Arial"/>
          <w:bCs/>
          <w:iCs/>
        </w:rPr>
      </w:pPr>
    </w:p>
    <w:p w14:paraId="608A7266" w14:textId="4F2F6A32" w:rsidR="00404F8C" w:rsidRDefault="00404F8C" w:rsidP="009A497E">
      <w:pPr>
        <w:pStyle w:val="Heading2"/>
        <w:numPr>
          <w:ilvl w:val="0"/>
          <w:numId w:val="45"/>
        </w:numPr>
      </w:pPr>
      <w:r>
        <w:t>Gambling support services</w:t>
      </w:r>
    </w:p>
    <w:p w14:paraId="3A539609" w14:textId="77777777" w:rsidR="00404F8C" w:rsidRDefault="00404F8C" w:rsidP="00404F8C">
      <w:pPr>
        <w:autoSpaceDE w:val="0"/>
        <w:autoSpaceDN w:val="0"/>
        <w:adjustRightInd w:val="0"/>
        <w:rPr>
          <w:rFonts w:cs="Arial"/>
          <w:b/>
          <w:bCs/>
          <w:iCs/>
        </w:rPr>
      </w:pPr>
    </w:p>
    <w:p w14:paraId="33AFAF16" w14:textId="77777777" w:rsidR="00404F8C" w:rsidRDefault="00404F8C" w:rsidP="00404F8C">
      <w:pPr>
        <w:autoSpaceDE w:val="0"/>
        <w:autoSpaceDN w:val="0"/>
        <w:adjustRightInd w:val="0"/>
        <w:rPr>
          <w:rFonts w:cs="Arial"/>
          <w:bCs/>
          <w:iCs/>
        </w:rPr>
      </w:pPr>
      <w:r>
        <w:rPr>
          <w:rFonts w:cs="Arial"/>
          <w:bCs/>
          <w:iCs/>
        </w:rPr>
        <w:t xml:space="preserve">The Licensing Authority recognises the risks associated with problem gambling.  In order to assist vulnerable people, those at risk or those otherwise in need of professional support, the council will provide links and signposting to support services through its digital media channels, </w:t>
      </w:r>
      <w:proofErr w:type="gramStart"/>
      <w:r>
        <w:rPr>
          <w:rFonts w:cs="Arial"/>
          <w:bCs/>
          <w:iCs/>
        </w:rPr>
        <w:t>e.g.</w:t>
      </w:r>
      <w:proofErr w:type="gramEnd"/>
      <w:r>
        <w:rPr>
          <w:rFonts w:cs="Arial"/>
          <w:bCs/>
          <w:iCs/>
        </w:rPr>
        <w:t xml:space="preserve"> the council website</w:t>
      </w:r>
      <w:r w:rsidR="00621CB0">
        <w:rPr>
          <w:rFonts w:cs="Arial"/>
          <w:bCs/>
          <w:iCs/>
        </w:rPr>
        <w:t>.</w:t>
      </w:r>
    </w:p>
    <w:p w14:paraId="75DCB455" w14:textId="77777777" w:rsidR="00404F8C" w:rsidRDefault="00404F8C" w:rsidP="00404F8C">
      <w:pPr>
        <w:autoSpaceDE w:val="0"/>
        <w:autoSpaceDN w:val="0"/>
        <w:adjustRightInd w:val="0"/>
        <w:rPr>
          <w:rFonts w:cs="Arial"/>
          <w:bCs/>
          <w:iCs/>
        </w:rPr>
      </w:pPr>
    </w:p>
    <w:p w14:paraId="2EFF1CD0" w14:textId="77777777" w:rsidR="008D6739" w:rsidRPr="00404F8C" w:rsidRDefault="00404F8C" w:rsidP="00404F8C">
      <w:pPr>
        <w:autoSpaceDE w:val="0"/>
        <w:autoSpaceDN w:val="0"/>
        <w:adjustRightInd w:val="0"/>
        <w:rPr>
          <w:rFonts w:cs="Arial"/>
          <w:b/>
          <w:bCs/>
          <w:i/>
          <w:iCs/>
        </w:rPr>
      </w:pPr>
      <w:r>
        <w:rPr>
          <w:rFonts w:cs="Arial"/>
          <w:bCs/>
          <w:iCs/>
        </w:rPr>
        <w:t xml:space="preserve">Contact details for </w:t>
      </w:r>
      <w:proofErr w:type="spellStart"/>
      <w:r>
        <w:rPr>
          <w:rFonts w:cs="Arial"/>
          <w:bCs/>
          <w:iCs/>
        </w:rPr>
        <w:t>GamCare</w:t>
      </w:r>
      <w:proofErr w:type="spellEnd"/>
      <w:r w:rsidR="00AF4137">
        <w:rPr>
          <w:rFonts w:cs="Arial"/>
          <w:bCs/>
          <w:iCs/>
        </w:rPr>
        <w:t xml:space="preserve"> are also provided in appendix 9</w:t>
      </w:r>
      <w:r>
        <w:rPr>
          <w:rFonts w:cs="Arial"/>
          <w:bCs/>
          <w:iCs/>
        </w:rPr>
        <w:t xml:space="preserve"> of this Policy.</w:t>
      </w:r>
      <w:r w:rsidR="008D6739">
        <w:rPr>
          <w:rFonts w:eastAsia="Calibri" w:cs="Arial"/>
          <w:b/>
          <w:szCs w:val="22"/>
          <w:lang w:eastAsia="en-US"/>
        </w:rPr>
        <w:br w:type="page"/>
      </w:r>
    </w:p>
    <w:p w14:paraId="0C011BD3" w14:textId="77777777" w:rsidR="00F75997" w:rsidRPr="00F75997" w:rsidRDefault="00F75997" w:rsidP="008D6739">
      <w:pPr>
        <w:jc w:val="right"/>
        <w:rPr>
          <w:rFonts w:eastAsia="Calibri" w:cs="Arial"/>
          <w:b/>
          <w:szCs w:val="22"/>
          <w:lang w:eastAsia="en-US"/>
        </w:rPr>
      </w:pPr>
      <w:r w:rsidRPr="00F75997">
        <w:rPr>
          <w:rFonts w:eastAsia="Calibri" w:cs="Arial"/>
          <w:b/>
          <w:szCs w:val="22"/>
          <w:lang w:eastAsia="en-US"/>
        </w:rPr>
        <w:lastRenderedPageBreak/>
        <w:t xml:space="preserve">Appendix 1 - </w:t>
      </w:r>
      <w:r w:rsidRPr="008D6739">
        <w:rPr>
          <w:rFonts w:eastAsia="Calibri" w:cs="Arial"/>
          <w:b/>
          <w:color w:val="000000" w:themeColor="text1"/>
          <w:szCs w:val="22"/>
          <w:lang w:eastAsia="en-US"/>
        </w:rPr>
        <w:t>Permits</w:t>
      </w:r>
    </w:p>
    <w:p w14:paraId="21953356" w14:textId="77777777" w:rsidR="0017273D" w:rsidRDefault="0017273D" w:rsidP="008D6739">
      <w:pPr>
        <w:rPr>
          <w:rFonts w:eastAsia="Calibri" w:cs="Arial"/>
          <w:szCs w:val="22"/>
          <w:lang w:eastAsia="en-US"/>
        </w:rPr>
      </w:pPr>
    </w:p>
    <w:p w14:paraId="73DF413B" w14:textId="77777777" w:rsidR="00F75997" w:rsidRDefault="0017273D" w:rsidP="008D6739">
      <w:pPr>
        <w:rPr>
          <w:rFonts w:eastAsia="Calibri" w:cs="Arial"/>
          <w:szCs w:val="22"/>
          <w:lang w:eastAsia="en-US"/>
        </w:rPr>
      </w:pPr>
      <w:r>
        <w:rPr>
          <w:rFonts w:eastAsia="Calibri" w:cs="Arial"/>
          <w:szCs w:val="22"/>
          <w:lang w:eastAsia="en-US"/>
        </w:rPr>
        <w:t>This a</w:t>
      </w:r>
      <w:r w:rsidR="00F75997" w:rsidRPr="00F75997">
        <w:rPr>
          <w:rFonts w:eastAsia="Calibri" w:cs="Arial"/>
          <w:szCs w:val="22"/>
          <w:lang w:eastAsia="en-US"/>
        </w:rPr>
        <w:t xml:space="preserve">ppendix outlines factors to be </w:t>
      </w:r>
      <w:proofErr w:type="gramStart"/>
      <w:r w:rsidR="00F75997" w:rsidRPr="00F75997">
        <w:rPr>
          <w:rFonts w:eastAsia="Calibri" w:cs="Arial"/>
          <w:szCs w:val="22"/>
          <w:lang w:eastAsia="en-US"/>
        </w:rPr>
        <w:t>taken into account</w:t>
      </w:r>
      <w:proofErr w:type="gramEnd"/>
      <w:r w:rsidR="00F75997" w:rsidRPr="00F75997">
        <w:rPr>
          <w:rFonts w:eastAsia="Calibri" w:cs="Arial"/>
          <w:szCs w:val="22"/>
          <w:lang w:eastAsia="en-US"/>
        </w:rPr>
        <w:t xml:space="preserve"> when considering applications for permits.</w:t>
      </w:r>
    </w:p>
    <w:p w14:paraId="56D67037" w14:textId="77777777" w:rsidR="0017273D" w:rsidRPr="00F75997" w:rsidRDefault="0017273D" w:rsidP="008D6739">
      <w:pPr>
        <w:rPr>
          <w:rFonts w:eastAsia="Calibri" w:cs="Arial"/>
          <w:szCs w:val="22"/>
          <w:lang w:eastAsia="en-US"/>
        </w:rPr>
      </w:pPr>
    </w:p>
    <w:p w14:paraId="7B9BCA83" w14:textId="77777777" w:rsidR="00F75997" w:rsidRDefault="00EC4583" w:rsidP="008D6739">
      <w:pPr>
        <w:rPr>
          <w:rFonts w:eastAsia="Calibri" w:cs="Arial"/>
          <w:b/>
          <w:szCs w:val="22"/>
          <w:lang w:eastAsia="en-US"/>
        </w:rPr>
      </w:pPr>
      <w:r>
        <w:rPr>
          <w:rFonts w:eastAsia="Calibri" w:cs="Arial"/>
          <w:b/>
          <w:szCs w:val="22"/>
          <w:lang w:eastAsia="en-US"/>
        </w:rPr>
        <w:t xml:space="preserve">Unlicensed </w:t>
      </w:r>
      <w:r w:rsidR="0017273D">
        <w:rPr>
          <w:rFonts w:eastAsia="Calibri" w:cs="Arial"/>
          <w:b/>
          <w:szCs w:val="22"/>
          <w:lang w:eastAsia="en-US"/>
        </w:rPr>
        <w:t>F</w:t>
      </w:r>
      <w:r w:rsidR="008D6739">
        <w:rPr>
          <w:rFonts w:eastAsia="Calibri" w:cs="Arial"/>
          <w:b/>
          <w:szCs w:val="22"/>
          <w:lang w:eastAsia="en-US"/>
        </w:rPr>
        <w:t xml:space="preserve">amily Entertainment Centre </w:t>
      </w:r>
      <w:r w:rsidR="0017273D">
        <w:rPr>
          <w:rFonts w:eastAsia="Calibri" w:cs="Arial"/>
          <w:b/>
          <w:szCs w:val="22"/>
          <w:lang w:eastAsia="en-US"/>
        </w:rPr>
        <w:t>Gaming Machine P</w:t>
      </w:r>
      <w:r w:rsidR="008D6739">
        <w:rPr>
          <w:rFonts w:eastAsia="Calibri" w:cs="Arial"/>
          <w:b/>
          <w:szCs w:val="22"/>
          <w:lang w:eastAsia="en-US"/>
        </w:rPr>
        <w:t>ermit</w:t>
      </w:r>
      <w:r w:rsidR="0017273D">
        <w:rPr>
          <w:rFonts w:eastAsia="Calibri" w:cs="Arial"/>
          <w:b/>
          <w:szCs w:val="22"/>
          <w:lang w:eastAsia="en-US"/>
        </w:rPr>
        <w:t xml:space="preserve">s issued under </w:t>
      </w:r>
      <w:r w:rsidR="00297614">
        <w:rPr>
          <w:rFonts w:eastAsia="Calibri" w:cs="Arial"/>
          <w:b/>
          <w:szCs w:val="22"/>
          <w:lang w:eastAsia="en-US"/>
        </w:rPr>
        <w:t>Schedule 10</w:t>
      </w:r>
    </w:p>
    <w:p w14:paraId="22B5104F" w14:textId="77777777" w:rsidR="0017273D" w:rsidRPr="00F75997" w:rsidRDefault="0017273D" w:rsidP="008D6739">
      <w:pPr>
        <w:rPr>
          <w:rFonts w:eastAsia="Calibri" w:cs="Arial"/>
          <w:b/>
          <w:szCs w:val="22"/>
          <w:lang w:eastAsia="en-US"/>
        </w:rPr>
      </w:pPr>
    </w:p>
    <w:p w14:paraId="173F5EF9" w14:textId="77777777" w:rsidR="00F75997" w:rsidRDefault="00F75997" w:rsidP="008D6739">
      <w:pPr>
        <w:rPr>
          <w:rFonts w:eastAsia="Calibri" w:cs="Arial"/>
          <w:szCs w:val="22"/>
          <w:lang w:eastAsia="en-US"/>
        </w:rPr>
      </w:pPr>
      <w:r w:rsidRPr="00F75997">
        <w:rPr>
          <w:rFonts w:eastAsia="Calibri" w:cs="Arial"/>
          <w:szCs w:val="22"/>
          <w:lang w:eastAsia="en-US"/>
        </w:rPr>
        <w:t xml:space="preserve">Where a premises does not hold a Premises Licence but wishes to </w:t>
      </w:r>
      <w:r w:rsidR="004F7ECA">
        <w:rPr>
          <w:rFonts w:eastAsia="Calibri" w:cs="Arial"/>
          <w:szCs w:val="22"/>
          <w:lang w:eastAsia="en-US"/>
        </w:rPr>
        <w:t>make Category D gaming machines available for use</w:t>
      </w:r>
      <w:r w:rsidR="0017273D">
        <w:rPr>
          <w:rFonts w:eastAsia="Calibri" w:cs="Arial"/>
          <w:szCs w:val="22"/>
          <w:lang w:eastAsia="en-US"/>
        </w:rPr>
        <w:t>,</w:t>
      </w:r>
      <w:r w:rsidRPr="00F75997">
        <w:rPr>
          <w:rFonts w:eastAsia="Calibri" w:cs="Arial"/>
          <w:szCs w:val="22"/>
          <w:lang w:eastAsia="en-US"/>
        </w:rPr>
        <w:t xml:space="preserve"> it may apply to the Licensing Authority for this permit. The applicant must show that the premises will be wholly or mainly used for making </w:t>
      </w:r>
      <w:r w:rsidR="004F7ECA">
        <w:rPr>
          <w:rFonts w:eastAsia="Calibri" w:cs="Arial"/>
          <w:szCs w:val="22"/>
          <w:lang w:eastAsia="en-US"/>
        </w:rPr>
        <w:t xml:space="preserve">Category D </w:t>
      </w:r>
      <w:r w:rsidRPr="00F75997">
        <w:rPr>
          <w:rFonts w:eastAsia="Calibri" w:cs="Arial"/>
          <w:szCs w:val="22"/>
          <w:lang w:eastAsia="en-US"/>
        </w:rPr>
        <w:t>gaming machines</w:t>
      </w:r>
      <w:r w:rsidR="0017273D">
        <w:rPr>
          <w:rFonts w:eastAsia="Calibri" w:cs="Arial"/>
          <w:szCs w:val="22"/>
          <w:lang w:eastAsia="en-US"/>
        </w:rPr>
        <w:t xml:space="preserve"> available for use</w:t>
      </w:r>
      <w:r w:rsidRPr="00F75997">
        <w:rPr>
          <w:rFonts w:eastAsia="Calibri" w:cs="Arial"/>
          <w:szCs w:val="22"/>
          <w:lang w:eastAsia="en-US"/>
        </w:rPr>
        <w:t>.</w:t>
      </w:r>
    </w:p>
    <w:p w14:paraId="752B39BD" w14:textId="77777777" w:rsidR="006C47DE" w:rsidRDefault="006C47DE" w:rsidP="008D6739">
      <w:pPr>
        <w:rPr>
          <w:rFonts w:eastAsia="Calibri" w:cs="Arial"/>
          <w:szCs w:val="22"/>
          <w:lang w:eastAsia="en-US"/>
        </w:rPr>
      </w:pPr>
    </w:p>
    <w:p w14:paraId="16530C36" w14:textId="77777777" w:rsidR="006C47DE" w:rsidRDefault="006C47DE" w:rsidP="006C47DE">
      <w:pPr>
        <w:rPr>
          <w:rFonts w:eastAsia="Calibri" w:cs="Arial"/>
          <w:szCs w:val="22"/>
          <w:lang w:eastAsia="en-US"/>
        </w:rPr>
      </w:pPr>
      <w:r w:rsidRPr="00F75997">
        <w:rPr>
          <w:rFonts w:eastAsia="Calibri" w:cs="Arial"/>
          <w:szCs w:val="22"/>
          <w:lang w:eastAsia="en-US"/>
        </w:rPr>
        <w:t xml:space="preserve">It should be noted that a Licensing Authority cannot attach conditions to this type of permit and that the “statement of principles” only applies to initial applications and </w:t>
      </w:r>
      <w:r>
        <w:rPr>
          <w:rFonts w:eastAsia="Calibri" w:cs="Arial"/>
          <w:szCs w:val="22"/>
          <w:lang w:eastAsia="en-US"/>
        </w:rPr>
        <w:t>not to renewals</w:t>
      </w:r>
      <w:r w:rsidRPr="00F75997">
        <w:rPr>
          <w:rFonts w:eastAsia="Calibri" w:cs="Arial"/>
          <w:szCs w:val="22"/>
          <w:lang w:eastAsia="en-US"/>
        </w:rPr>
        <w:t xml:space="preserve">. </w:t>
      </w:r>
    </w:p>
    <w:p w14:paraId="0B083389" w14:textId="77777777" w:rsidR="006C47DE" w:rsidRDefault="006C47DE" w:rsidP="008D6739">
      <w:pPr>
        <w:rPr>
          <w:rFonts w:eastAsia="Calibri" w:cs="Arial"/>
          <w:szCs w:val="22"/>
          <w:lang w:eastAsia="en-US"/>
        </w:rPr>
      </w:pPr>
    </w:p>
    <w:p w14:paraId="54ADBFEC" w14:textId="77777777" w:rsidR="006C47DE" w:rsidRDefault="006C47DE" w:rsidP="006C47DE">
      <w:pPr>
        <w:rPr>
          <w:rFonts w:eastAsia="Calibri" w:cs="Arial"/>
          <w:szCs w:val="22"/>
          <w:lang w:eastAsia="en-US"/>
        </w:rPr>
      </w:pPr>
      <w:r w:rsidRPr="00F75997">
        <w:rPr>
          <w:rFonts w:eastAsia="Calibri" w:cs="Arial"/>
          <w:szCs w:val="22"/>
          <w:lang w:eastAsia="en-US"/>
        </w:rPr>
        <w:t>For initial applications, the Licensing Authority need not (but may) have regard to the licensing objectives and shall have regard to any Gambling Commission Guidance.</w:t>
      </w:r>
    </w:p>
    <w:p w14:paraId="28A8A092" w14:textId="77777777" w:rsidR="006C47DE" w:rsidRPr="00F75997" w:rsidRDefault="006C47DE" w:rsidP="006C47DE">
      <w:pPr>
        <w:rPr>
          <w:rFonts w:eastAsia="Calibri" w:cs="Arial"/>
          <w:szCs w:val="22"/>
          <w:lang w:eastAsia="en-US"/>
        </w:rPr>
      </w:pPr>
    </w:p>
    <w:p w14:paraId="6824C0BA" w14:textId="77777777" w:rsidR="006C47DE" w:rsidRDefault="006C47DE" w:rsidP="006C47DE">
      <w:pPr>
        <w:rPr>
          <w:rFonts w:eastAsia="Calibri" w:cs="Arial"/>
          <w:szCs w:val="22"/>
          <w:lang w:eastAsia="en-US"/>
        </w:rPr>
      </w:pPr>
      <w:r w:rsidRPr="00CF3659">
        <w:rPr>
          <w:rFonts w:eastAsia="Calibri" w:cs="Arial"/>
          <w:szCs w:val="22"/>
          <w:lang w:eastAsia="en-US"/>
        </w:rPr>
        <w:t xml:space="preserve">The Gambling Commission’s Guidance for local </w:t>
      </w:r>
      <w:proofErr w:type="gramStart"/>
      <w:r w:rsidRPr="00CF3659">
        <w:rPr>
          <w:rFonts w:eastAsia="Calibri" w:cs="Arial"/>
          <w:szCs w:val="22"/>
          <w:lang w:eastAsia="en-US"/>
        </w:rPr>
        <w:t>authorities</w:t>
      </w:r>
      <w:proofErr w:type="gramEnd"/>
      <w:r>
        <w:rPr>
          <w:rFonts w:eastAsia="Calibri" w:cs="Arial"/>
          <w:szCs w:val="22"/>
          <w:lang w:eastAsia="en-US"/>
        </w:rPr>
        <w:t xml:space="preserve"> states: “In its statement of policy</w:t>
      </w:r>
      <w:r w:rsidRPr="00CF3659">
        <w:rPr>
          <w:rFonts w:eastAsia="Calibri" w:cs="Arial"/>
          <w:szCs w:val="22"/>
          <w:lang w:eastAsia="en-US"/>
        </w:rPr>
        <w:t>,</w:t>
      </w:r>
      <w:r>
        <w:rPr>
          <w:rFonts w:eastAsia="Calibri" w:cs="Arial"/>
          <w:szCs w:val="22"/>
          <w:lang w:eastAsia="en-US"/>
        </w:rPr>
        <w:t xml:space="preserve"> a licensing authority</w:t>
      </w:r>
      <w:r w:rsidRPr="00CF3659">
        <w:rPr>
          <w:rFonts w:eastAsia="Calibri" w:cs="Arial"/>
          <w:szCs w:val="22"/>
          <w:lang w:eastAsia="en-US"/>
        </w:rPr>
        <w:t xml:space="preserve"> may include a s</w:t>
      </w:r>
      <w:r>
        <w:rPr>
          <w:rFonts w:eastAsia="Calibri" w:cs="Arial"/>
          <w:szCs w:val="22"/>
          <w:lang w:eastAsia="en-US"/>
        </w:rPr>
        <w:t>tatement of principles that it</w:t>
      </w:r>
      <w:r w:rsidRPr="00CF3659">
        <w:rPr>
          <w:rFonts w:eastAsia="Calibri" w:cs="Arial"/>
          <w:szCs w:val="22"/>
          <w:lang w:eastAsia="en-US"/>
        </w:rPr>
        <w:t xml:space="preserve"> propose</w:t>
      </w:r>
      <w:r>
        <w:rPr>
          <w:rFonts w:eastAsia="Calibri" w:cs="Arial"/>
          <w:szCs w:val="22"/>
          <w:lang w:eastAsia="en-US"/>
        </w:rPr>
        <w:t>s to apply when exercising its</w:t>
      </w:r>
      <w:r w:rsidRPr="00CF3659">
        <w:rPr>
          <w:rFonts w:eastAsia="Calibri" w:cs="Arial"/>
          <w:szCs w:val="22"/>
          <w:lang w:eastAsia="en-US"/>
        </w:rPr>
        <w:t xml:space="preserve"> functions in conside</w:t>
      </w:r>
      <w:r>
        <w:rPr>
          <w:rFonts w:eastAsia="Calibri" w:cs="Arial"/>
          <w:szCs w:val="22"/>
          <w:lang w:eastAsia="en-US"/>
        </w:rPr>
        <w:t>ri</w:t>
      </w:r>
      <w:r w:rsidR="0003365B">
        <w:rPr>
          <w:rFonts w:eastAsia="Calibri" w:cs="Arial"/>
          <w:szCs w:val="22"/>
          <w:lang w:eastAsia="en-US"/>
        </w:rPr>
        <w:t>ng applications for permits.’ ‘L</w:t>
      </w:r>
      <w:r>
        <w:rPr>
          <w:rFonts w:eastAsia="Calibri" w:cs="Arial"/>
          <w:szCs w:val="22"/>
          <w:lang w:eastAsia="en-US"/>
        </w:rPr>
        <w:t>icensing authorities may wish</w:t>
      </w:r>
      <w:r w:rsidRPr="00CF3659">
        <w:rPr>
          <w:rFonts w:eastAsia="Calibri" w:cs="Arial"/>
          <w:szCs w:val="22"/>
          <w:lang w:eastAsia="en-US"/>
        </w:rPr>
        <w:t xml:space="preserve"> to give w</w:t>
      </w:r>
      <w:r>
        <w:rPr>
          <w:rFonts w:eastAsia="Calibri" w:cs="Arial"/>
          <w:szCs w:val="22"/>
          <w:lang w:eastAsia="en-US"/>
        </w:rPr>
        <w:t>eight to matters relating to protection of children from being harmed or exploited by gambling</w:t>
      </w:r>
      <w:r w:rsidRPr="00CF3659">
        <w:rPr>
          <w:rFonts w:eastAsia="Calibri" w:cs="Arial"/>
          <w:szCs w:val="22"/>
          <w:lang w:eastAsia="en-US"/>
        </w:rPr>
        <w:t>.”</w:t>
      </w:r>
    </w:p>
    <w:p w14:paraId="6502888B" w14:textId="77777777" w:rsidR="006C47DE" w:rsidRPr="00CF3659" w:rsidRDefault="006C47DE" w:rsidP="006C47DE">
      <w:pPr>
        <w:rPr>
          <w:rFonts w:eastAsia="Calibri" w:cs="Arial"/>
          <w:szCs w:val="22"/>
          <w:lang w:eastAsia="en-US"/>
        </w:rPr>
      </w:pPr>
    </w:p>
    <w:p w14:paraId="2D3D28B2" w14:textId="77777777" w:rsidR="0017273D" w:rsidRDefault="006C47DE" w:rsidP="008D6739">
      <w:pPr>
        <w:rPr>
          <w:rFonts w:eastAsia="Calibri" w:cs="Arial"/>
          <w:szCs w:val="22"/>
          <w:lang w:eastAsia="en-US"/>
        </w:rPr>
      </w:pPr>
      <w:r w:rsidRPr="002F2D78">
        <w:rPr>
          <w:rFonts w:eastAsia="Calibri" w:cs="Arial"/>
          <w:szCs w:val="22"/>
          <w:lang w:eastAsia="en-US"/>
        </w:rPr>
        <w:t>The Gambling Commission’s Guidance also states: “An application for a permit may be granted only if the Licensing Authority is satisfied that the premises will be used as an unlicensed FEC, and if the Chief Officer of Police has been consulted on the application.”</w:t>
      </w:r>
    </w:p>
    <w:p w14:paraId="1E4EF33B" w14:textId="77777777" w:rsidR="001B6270" w:rsidRPr="00F75997" w:rsidRDefault="001B6270" w:rsidP="008D6739">
      <w:pPr>
        <w:rPr>
          <w:rFonts w:eastAsia="Calibri" w:cs="Arial"/>
          <w:szCs w:val="22"/>
          <w:lang w:eastAsia="en-US"/>
        </w:rPr>
      </w:pPr>
    </w:p>
    <w:p w14:paraId="55D5EB9C" w14:textId="77777777" w:rsidR="0017273D" w:rsidRDefault="0017273D" w:rsidP="008D6739">
      <w:pPr>
        <w:rPr>
          <w:rFonts w:eastAsia="Calibri" w:cs="Arial"/>
          <w:szCs w:val="22"/>
          <w:lang w:eastAsia="en-US"/>
        </w:rPr>
      </w:pPr>
      <w:r>
        <w:rPr>
          <w:rFonts w:eastAsia="Calibri" w:cs="Arial"/>
          <w:szCs w:val="22"/>
          <w:lang w:eastAsia="en-US"/>
        </w:rPr>
        <w:t>As</w:t>
      </w:r>
      <w:r w:rsidR="00F75997" w:rsidRPr="00F75997">
        <w:rPr>
          <w:rFonts w:eastAsia="Calibri" w:cs="Arial"/>
          <w:szCs w:val="22"/>
          <w:lang w:eastAsia="en-US"/>
        </w:rPr>
        <w:t xml:space="preserve"> </w:t>
      </w:r>
      <w:r w:rsidR="002F2D78">
        <w:rPr>
          <w:rFonts w:eastAsia="Calibri" w:cs="Arial"/>
          <w:szCs w:val="22"/>
          <w:lang w:eastAsia="en-US"/>
        </w:rPr>
        <w:t xml:space="preserve">unlicensed </w:t>
      </w:r>
      <w:r w:rsidR="00F75997" w:rsidRPr="00F75997">
        <w:rPr>
          <w:rFonts w:eastAsia="Calibri" w:cs="Arial"/>
          <w:szCs w:val="22"/>
          <w:lang w:eastAsia="en-US"/>
        </w:rPr>
        <w:t xml:space="preserve">family entertainment centres will particularly appeal to children and young persons, weight shall be given to child protection issues. The Licensing Authority will expect the applicant to show that there are policies and procedures in place to protect children from harm. Harm in this context is not limited to harm from </w:t>
      </w:r>
      <w:proofErr w:type="gramStart"/>
      <w:r w:rsidR="00F75997" w:rsidRPr="00F75997">
        <w:rPr>
          <w:rFonts w:eastAsia="Calibri" w:cs="Arial"/>
          <w:szCs w:val="22"/>
          <w:lang w:eastAsia="en-US"/>
        </w:rPr>
        <w:t>gambling, but</w:t>
      </w:r>
      <w:proofErr w:type="gramEnd"/>
      <w:r w:rsidR="00F75997" w:rsidRPr="00F75997">
        <w:rPr>
          <w:rFonts w:eastAsia="Calibri" w:cs="Arial"/>
          <w:szCs w:val="22"/>
          <w:lang w:eastAsia="en-US"/>
        </w:rPr>
        <w:t xml:space="preserve"> includes wider child protection considerations. </w:t>
      </w:r>
    </w:p>
    <w:p w14:paraId="0ABC9CF6" w14:textId="77777777" w:rsidR="0017273D" w:rsidRDefault="0017273D" w:rsidP="008D6739">
      <w:pPr>
        <w:rPr>
          <w:rFonts w:eastAsia="Calibri" w:cs="Arial"/>
          <w:szCs w:val="22"/>
          <w:lang w:eastAsia="en-US"/>
        </w:rPr>
      </w:pPr>
    </w:p>
    <w:p w14:paraId="00DE4251" w14:textId="77777777" w:rsidR="00F75997" w:rsidRPr="00F75997" w:rsidRDefault="00F75997" w:rsidP="008D6739">
      <w:pPr>
        <w:rPr>
          <w:rFonts w:eastAsia="Calibri" w:cs="Arial"/>
          <w:szCs w:val="22"/>
          <w:lang w:eastAsia="en-US"/>
        </w:rPr>
      </w:pPr>
      <w:r w:rsidRPr="00F75997">
        <w:rPr>
          <w:rFonts w:eastAsia="Calibri" w:cs="Arial"/>
          <w:szCs w:val="22"/>
          <w:lang w:eastAsia="en-US"/>
        </w:rPr>
        <w:t>The policies and procedures are expected to include:</w:t>
      </w:r>
    </w:p>
    <w:p w14:paraId="69A2D2B3"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What staff should do if they suspect that truant children are on the </w:t>
      </w:r>
      <w:proofErr w:type="gramStart"/>
      <w:r w:rsidRPr="00F75997">
        <w:rPr>
          <w:rFonts w:eastAsia="Calibri" w:cs="Arial"/>
          <w:szCs w:val="22"/>
          <w:lang w:eastAsia="en-US"/>
        </w:rPr>
        <w:t>premises;</w:t>
      </w:r>
      <w:proofErr w:type="gramEnd"/>
    </w:p>
    <w:p w14:paraId="2679FC7D"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How staff should deal with unsupervised young children on the </w:t>
      </w:r>
      <w:proofErr w:type="gramStart"/>
      <w:r w:rsidRPr="00F75997">
        <w:rPr>
          <w:rFonts w:eastAsia="Calibri" w:cs="Arial"/>
          <w:szCs w:val="22"/>
          <w:lang w:eastAsia="en-US"/>
        </w:rPr>
        <w:t>premises;</w:t>
      </w:r>
      <w:proofErr w:type="gramEnd"/>
    </w:p>
    <w:p w14:paraId="30D81616"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How staff should deal with children causing perceived problems on or around the </w:t>
      </w:r>
      <w:proofErr w:type="gramStart"/>
      <w:r w:rsidRPr="00F75997">
        <w:rPr>
          <w:rFonts w:eastAsia="Calibri" w:cs="Arial"/>
          <w:szCs w:val="22"/>
          <w:lang w:eastAsia="en-US"/>
        </w:rPr>
        <w:t>premises;</w:t>
      </w:r>
      <w:proofErr w:type="gramEnd"/>
    </w:p>
    <w:p w14:paraId="6CD41930"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Safeguarding awareness training</w:t>
      </w:r>
      <w:r w:rsidR="00A12E53">
        <w:rPr>
          <w:rFonts w:eastAsia="Calibri" w:cs="Arial"/>
          <w:szCs w:val="22"/>
          <w:lang w:eastAsia="en-US"/>
        </w:rPr>
        <w:t xml:space="preserve"> and access to associated materials on site for all staff, including in relation to </w:t>
      </w:r>
      <w:r w:rsidR="006643F2">
        <w:rPr>
          <w:rFonts w:eastAsia="Calibri" w:cs="Arial"/>
          <w:szCs w:val="22"/>
          <w:lang w:eastAsia="en-US"/>
        </w:rPr>
        <w:t>child sexual exploitation</w:t>
      </w:r>
      <w:r w:rsidR="0017273D">
        <w:rPr>
          <w:rFonts w:eastAsia="Calibri" w:cs="Arial"/>
          <w:szCs w:val="22"/>
          <w:lang w:eastAsia="en-US"/>
        </w:rPr>
        <w:t>; and</w:t>
      </w:r>
    </w:p>
    <w:p w14:paraId="1FD7466B" w14:textId="77777777" w:rsidR="00F75997" w:rsidRDefault="0017273D" w:rsidP="008D6739">
      <w:pPr>
        <w:numPr>
          <w:ilvl w:val="0"/>
          <w:numId w:val="15"/>
        </w:numPr>
        <w:contextualSpacing/>
        <w:rPr>
          <w:rFonts w:eastAsia="Calibri" w:cs="Arial"/>
          <w:szCs w:val="22"/>
          <w:lang w:eastAsia="en-US"/>
        </w:rPr>
      </w:pPr>
      <w:r>
        <w:rPr>
          <w:rFonts w:eastAsia="Calibri" w:cs="Arial"/>
          <w:szCs w:val="22"/>
          <w:lang w:eastAsia="en-US"/>
        </w:rPr>
        <w:t>A basic</w:t>
      </w:r>
      <w:r w:rsidR="00F75997" w:rsidRPr="00F75997">
        <w:rPr>
          <w:rFonts w:eastAsia="Calibri" w:cs="Arial"/>
          <w:szCs w:val="22"/>
          <w:lang w:eastAsia="en-US"/>
        </w:rPr>
        <w:t xml:space="preserve"> criminal record check for staff or equivalent criminal records </w:t>
      </w:r>
      <w:proofErr w:type="gramStart"/>
      <w:r w:rsidR="00F75997" w:rsidRPr="00F75997">
        <w:rPr>
          <w:rFonts w:eastAsia="Calibri" w:cs="Arial"/>
          <w:szCs w:val="22"/>
          <w:lang w:eastAsia="en-US"/>
        </w:rPr>
        <w:t>check</w:t>
      </w:r>
      <w:proofErr w:type="gramEnd"/>
      <w:r w:rsidR="00F75997" w:rsidRPr="00F75997">
        <w:rPr>
          <w:rFonts w:eastAsia="Calibri" w:cs="Arial"/>
          <w:szCs w:val="22"/>
          <w:lang w:eastAsia="en-US"/>
        </w:rPr>
        <w:t xml:space="preserve"> for the applicant and also the person who has the day</w:t>
      </w:r>
      <w:r w:rsidR="002F29E5">
        <w:rPr>
          <w:rFonts w:eastAsia="Calibri" w:cs="Arial"/>
          <w:szCs w:val="22"/>
          <w:lang w:eastAsia="en-US"/>
        </w:rPr>
        <w:t xml:space="preserve"> to day control of the premises</w:t>
      </w:r>
    </w:p>
    <w:p w14:paraId="20B533A4" w14:textId="77777777" w:rsidR="002F29E5" w:rsidRPr="00F75997" w:rsidRDefault="002F29E5" w:rsidP="008D6739">
      <w:pPr>
        <w:ind w:left="720"/>
        <w:contextualSpacing/>
        <w:rPr>
          <w:rFonts w:eastAsia="Calibri" w:cs="Arial"/>
          <w:szCs w:val="22"/>
          <w:lang w:eastAsia="en-US"/>
        </w:rPr>
      </w:pPr>
    </w:p>
    <w:p w14:paraId="628AD9F7" w14:textId="77777777" w:rsidR="00F75997" w:rsidRPr="00F75997" w:rsidRDefault="00F75997" w:rsidP="008D6739">
      <w:pPr>
        <w:rPr>
          <w:rFonts w:eastAsia="Calibri" w:cs="Arial"/>
          <w:szCs w:val="22"/>
          <w:lang w:eastAsia="en-US"/>
        </w:rPr>
      </w:pPr>
      <w:r w:rsidRPr="00F75997">
        <w:rPr>
          <w:rFonts w:eastAsia="Calibri" w:cs="Arial"/>
          <w:szCs w:val="22"/>
          <w:lang w:eastAsia="en-US"/>
        </w:rPr>
        <w:t>The Licensing Authority will also expect applicants to demonstrate</w:t>
      </w:r>
      <w:r w:rsidR="00CF3659">
        <w:rPr>
          <w:rFonts w:eastAsia="Calibri" w:cs="Arial"/>
          <w:szCs w:val="22"/>
          <w:lang w:eastAsia="en-US"/>
        </w:rPr>
        <w:t>:</w:t>
      </w:r>
    </w:p>
    <w:p w14:paraId="03D8CC33" w14:textId="77777777" w:rsidR="00F75997" w:rsidRPr="00F75997" w:rsidRDefault="00CF3659" w:rsidP="008D6739">
      <w:pPr>
        <w:numPr>
          <w:ilvl w:val="0"/>
          <w:numId w:val="15"/>
        </w:numPr>
        <w:contextualSpacing/>
        <w:rPr>
          <w:rFonts w:eastAsia="Calibri" w:cs="Arial"/>
          <w:szCs w:val="22"/>
          <w:lang w:eastAsia="en-US"/>
        </w:rPr>
      </w:pPr>
      <w:r>
        <w:rPr>
          <w:rFonts w:eastAsia="Calibri" w:cs="Arial"/>
          <w:szCs w:val="22"/>
          <w:lang w:eastAsia="en-US"/>
        </w:rPr>
        <w:t>A</w:t>
      </w:r>
      <w:r w:rsidR="00F75997" w:rsidRPr="00F75997">
        <w:rPr>
          <w:rFonts w:eastAsia="Calibri" w:cs="Arial"/>
          <w:szCs w:val="22"/>
          <w:lang w:eastAsia="en-US"/>
        </w:rPr>
        <w:t xml:space="preserve"> full understanding of the maximum stakes and prizes of the gambling that is permissible in unlicensed family entertainment </w:t>
      </w:r>
      <w:proofErr w:type="gramStart"/>
      <w:r w:rsidR="00F75997" w:rsidRPr="00F75997">
        <w:rPr>
          <w:rFonts w:eastAsia="Calibri" w:cs="Arial"/>
          <w:szCs w:val="22"/>
          <w:lang w:eastAsia="en-US"/>
        </w:rPr>
        <w:t>centres;</w:t>
      </w:r>
      <w:proofErr w:type="gramEnd"/>
    </w:p>
    <w:p w14:paraId="2F1E707C" w14:textId="77777777" w:rsidR="00F75997" w:rsidRPr="00F75997" w:rsidRDefault="00CF3659" w:rsidP="008D6739">
      <w:pPr>
        <w:numPr>
          <w:ilvl w:val="0"/>
          <w:numId w:val="15"/>
        </w:numPr>
        <w:contextualSpacing/>
        <w:rPr>
          <w:rFonts w:eastAsia="Calibri" w:cs="Arial"/>
          <w:szCs w:val="22"/>
          <w:lang w:eastAsia="en-US"/>
        </w:rPr>
      </w:pPr>
      <w:r>
        <w:rPr>
          <w:rFonts w:eastAsia="Calibri" w:cs="Arial"/>
          <w:szCs w:val="22"/>
          <w:lang w:eastAsia="en-US"/>
        </w:rPr>
        <w:t>T</w:t>
      </w:r>
      <w:r w:rsidR="00F75997" w:rsidRPr="00F75997">
        <w:rPr>
          <w:rFonts w:eastAsia="Calibri" w:cs="Arial"/>
          <w:szCs w:val="22"/>
          <w:lang w:eastAsia="en-US"/>
        </w:rPr>
        <w:t>hat the applicant has no relevant convictions (those that are set out in Schedule 7 of the Act); and</w:t>
      </w:r>
    </w:p>
    <w:p w14:paraId="3DCE021D" w14:textId="77777777" w:rsidR="00712915" w:rsidRPr="00712915" w:rsidRDefault="00CF3659" w:rsidP="008D6739">
      <w:pPr>
        <w:numPr>
          <w:ilvl w:val="0"/>
          <w:numId w:val="15"/>
        </w:numPr>
        <w:rPr>
          <w:rFonts w:eastAsia="Calibri" w:cs="Arial"/>
          <w:szCs w:val="22"/>
          <w:lang w:eastAsia="en-US"/>
        </w:rPr>
      </w:pPr>
      <w:r>
        <w:rPr>
          <w:rFonts w:eastAsia="Calibri" w:cs="Arial"/>
          <w:szCs w:val="22"/>
          <w:lang w:eastAsia="en-US"/>
        </w:rPr>
        <w:lastRenderedPageBreak/>
        <w:t>T</w:t>
      </w:r>
      <w:r w:rsidR="00F75997" w:rsidRPr="00F75997">
        <w:rPr>
          <w:rFonts w:eastAsia="Calibri" w:cs="Arial"/>
          <w:szCs w:val="22"/>
          <w:lang w:eastAsia="en-US"/>
        </w:rPr>
        <w:t>hat staff are trained to have full understanding o</w:t>
      </w:r>
      <w:r w:rsidR="00712915">
        <w:rPr>
          <w:rFonts w:eastAsia="Calibri" w:cs="Arial"/>
          <w:szCs w:val="22"/>
          <w:lang w:eastAsia="en-US"/>
        </w:rPr>
        <w:t>f the maximum stakes and prizes (</w:t>
      </w:r>
      <w:r w:rsidR="00712915" w:rsidRPr="00712915">
        <w:rPr>
          <w:rFonts w:eastAsia="Calibri" w:cs="Arial"/>
          <w:szCs w:val="22"/>
          <w:lang w:eastAsia="en-US"/>
        </w:rPr>
        <w:t xml:space="preserve">full, up to date details, are available on the Gambling Commission website - </w:t>
      </w:r>
      <w:hyperlink r:id="rId16" w:history="1">
        <w:r w:rsidR="00712915" w:rsidRPr="004C67FD">
          <w:rPr>
            <w:rStyle w:val="Hyperlink"/>
            <w:rFonts w:eastAsia="Calibri" w:cs="Arial"/>
            <w:szCs w:val="22"/>
            <w:lang w:eastAsia="en-US"/>
          </w:rPr>
          <w:t>https://www.gamblingcommission.gov.uk/home.aspx</w:t>
        </w:r>
      </w:hyperlink>
      <w:r w:rsidR="00712915">
        <w:rPr>
          <w:rFonts w:eastAsia="Calibri" w:cs="Arial"/>
          <w:szCs w:val="22"/>
          <w:lang w:eastAsia="en-US"/>
        </w:rPr>
        <w:t>)</w:t>
      </w:r>
    </w:p>
    <w:p w14:paraId="2333EDCD" w14:textId="77777777" w:rsidR="00F75997" w:rsidRPr="00F75997" w:rsidRDefault="00F75997" w:rsidP="008D6739">
      <w:pPr>
        <w:ind w:left="720"/>
        <w:contextualSpacing/>
        <w:rPr>
          <w:rFonts w:eastAsia="Calibri" w:cs="Arial"/>
          <w:szCs w:val="22"/>
          <w:lang w:eastAsia="en-US"/>
        </w:rPr>
      </w:pPr>
    </w:p>
    <w:p w14:paraId="1A368E18" w14:textId="77777777" w:rsidR="00F75997" w:rsidRPr="00F75997" w:rsidRDefault="00F75997" w:rsidP="008D6739">
      <w:pPr>
        <w:rPr>
          <w:rFonts w:eastAsia="Calibri" w:cs="Arial"/>
          <w:szCs w:val="22"/>
          <w:lang w:eastAsia="en-US"/>
        </w:rPr>
      </w:pPr>
      <w:r w:rsidRPr="00F75997">
        <w:rPr>
          <w:rFonts w:eastAsia="Calibri" w:cs="Arial"/>
          <w:szCs w:val="22"/>
          <w:lang w:eastAsia="en-US"/>
        </w:rPr>
        <w:t>Statement of Principles: This Licensing Authority will expect the applicant to show that there are policies and procedures in place to protect children from harm. Harm in this context is not limited to harm from gambling but includes wider child protection considerations.</w:t>
      </w:r>
    </w:p>
    <w:p w14:paraId="39F5E02C" w14:textId="77777777" w:rsidR="00F75997" w:rsidRPr="00F75997" w:rsidRDefault="00F75997" w:rsidP="008D6739">
      <w:pPr>
        <w:rPr>
          <w:rFonts w:eastAsia="Calibri" w:cs="Arial"/>
          <w:szCs w:val="22"/>
          <w:lang w:eastAsia="en-US"/>
        </w:rPr>
      </w:pPr>
      <w:r w:rsidRPr="00F75997">
        <w:rPr>
          <w:rFonts w:eastAsia="Calibri" w:cs="Arial"/>
          <w:szCs w:val="22"/>
          <w:lang w:eastAsia="en-US"/>
        </w:rPr>
        <w:t>The efficiency of such policies and procedures will each be considered on their mer</w:t>
      </w:r>
      <w:r w:rsidR="006C47DE">
        <w:rPr>
          <w:rFonts w:eastAsia="Calibri" w:cs="Arial"/>
          <w:szCs w:val="22"/>
          <w:lang w:eastAsia="en-US"/>
        </w:rPr>
        <w:t>its. However, they may include:</w:t>
      </w:r>
    </w:p>
    <w:p w14:paraId="28A5CD54" w14:textId="77777777" w:rsidR="00F75997" w:rsidRPr="00F75997" w:rsidRDefault="006C47DE" w:rsidP="008D6739">
      <w:pPr>
        <w:numPr>
          <w:ilvl w:val="0"/>
          <w:numId w:val="15"/>
        </w:numPr>
        <w:contextualSpacing/>
        <w:rPr>
          <w:rFonts w:eastAsia="Calibri" w:cs="Arial"/>
          <w:szCs w:val="22"/>
          <w:lang w:eastAsia="en-US"/>
        </w:rPr>
      </w:pPr>
      <w:r>
        <w:rPr>
          <w:rFonts w:eastAsia="Calibri" w:cs="Arial"/>
          <w:szCs w:val="22"/>
          <w:lang w:eastAsia="en-US"/>
        </w:rPr>
        <w:t xml:space="preserve">Appropriate measures and </w:t>
      </w:r>
      <w:r w:rsidR="00F75997" w:rsidRPr="00F75997">
        <w:rPr>
          <w:rFonts w:eastAsia="Calibri" w:cs="Arial"/>
          <w:szCs w:val="22"/>
          <w:lang w:eastAsia="en-US"/>
        </w:rPr>
        <w:t xml:space="preserve">training for staff as regards suspected truant school children on the </w:t>
      </w:r>
      <w:proofErr w:type="gramStart"/>
      <w:r w:rsidR="00F75997" w:rsidRPr="00F75997">
        <w:rPr>
          <w:rFonts w:eastAsia="Calibri" w:cs="Arial"/>
          <w:szCs w:val="22"/>
          <w:lang w:eastAsia="en-US"/>
        </w:rPr>
        <w:t>premises;</w:t>
      </w:r>
      <w:proofErr w:type="gramEnd"/>
    </w:p>
    <w:p w14:paraId="7BC2E515" w14:textId="77777777" w:rsidR="00F75997" w:rsidRPr="00F75997" w:rsidRDefault="006C47DE" w:rsidP="008D6739">
      <w:pPr>
        <w:numPr>
          <w:ilvl w:val="0"/>
          <w:numId w:val="15"/>
        </w:numPr>
        <w:contextualSpacing/>
        <w:rPr>
          <w:rFonts w:eastAsia="Calibri" w:cs="Arial"/>
          <w:szCs w:val="22"/>
          <w:lang w:eastAsia="en-US"/>
        </w:rPr>
      </w:pPr>
      <w:r>
        <w:rPr>
          <w:rFonts w:eastAsia="Calibri" w:cs="Arial"/>
          <w:szCs w:val="22"/>
          <w:lang w:eastAsia="en-US"/>
        </w:rPr>
        <w:t>M</w:t>
      </w:r>
      <w:r w:rsidR="00F75997" w:rsidRPr="00F75997">
        <w:rPr>
          <w:rFonts w:eastAsia="Calibri" w:cs="Arial"/>
          <w:szCs w:val="22"/>
          <w:lang w:eastAsia="en-US"/>
        </w:rPr>
        <w:t>easures</w:t>
      </w:r>
      <w:r>
        <w:rPr>
          <w:rFonts w:eastAsia="Calibri" w:cs="Arial"/>
          <w:szCs w:val="22"/>
          <w:lang w:eastAsia="en-US"/>
        </w:rPr>
        <w:t xml:space="preserve"> and </w:t>
      </w:r>
      <w:r w:rsidR="00F75997" w:rsidRPr="00F75997">
        <w:rPr>
          <w:rFonts w:eastAsia="Calibri" w:cs="Arial"/>
          <w:szCs w:val="22"/>
          <w:lang w:eastAsia="en-US"/>
        </w:rPr>
        <w:t xml:space="preserve">training covering how staff would deal with unsupervised very young children being on the </w:t>
      </w:r>
      <w:proofErr w:type="gramStart"/>
      <w:r w:rsidR="00F75997" w:rsidRPr="00F75997">
        <w:rPr>
          <w:rFonts w:eastAsia="Calibri" w:cs="Arial"/>
          <w:szCs w:val="22"/>
          <w:lang w:eastAsia="en-US"/>
        </w:rPr>
        <w:t>premises;</w:t>
      </w:r>
      <w:proofErr w:type="gramEnd"/>
    </w:p>
    <w:p w14:paraId="7EDB4119" w14:textId="77777777" w:rsidR="00F75997" w:rsidRPr="00F75997" w:rsidRDefault="006C47DE" w:rsidP="008D6739">
      <w:pPr>
        <w:numPr>
          <w:ilvl w:val="0"/>
          <w:numId w:val="15"/>
        </w:numPr>
        <w:contextualSpacing/>
        <w:rPr>
          <w:rFonts w:eastAsia="Calibri" w:cs="Arial"/>
          <w:szCs w:val="22"/>
          <w:lang w:eastAsia="en-US"/>
        </w:rPr>
      </w:pPr>
      <w:r>
        <w:rPr>
          <w:rFonts w:eastAsia="Calibri" w:cs="Arial"/>
          <w:szCs w:val="22"/>
          <w:lang w:eastAsia="en-US"/>
        </w:rPr>
        <w:t>C</w:t>
      </w:r>
      <w:r w:rsidR="00F75997" w:rsidRPr="00F75997">
        <w:rPr>
          <w:rFonts w:eastAsia="Calibri" w:cs="Arial"/>
          <w:szCs w:val="22"/>
          <w:lang w:eastAsia="en-US"/>
        </w:rPr>
        <w:t>hildr</w:t>
      </w:r>
      <w:r>
        <w:rPr>
          <w:rFonts w:eastAsia="Calibri" w:cs="Arial"/>
          <w:szCs w:val="22"/>
          <w:lang w:eastAsia="en-US"/>
        </w:rPr>
        <w:t xml:space="preserve">en causing perceived problems n and or </w:t>
      </w:r>
      <w:r w:rsidR="00F75997" w:rsidRPr="00F75997">
        <w:rPr>
          <w:rFonts w:eastAsia="Calibri" w:cs="Arial"/>
          <w:szCs w:val="22"/>
          <w:lang w:eastAsia="en-US"/>
        </w:rPr>
        <w:t>around the premises; and</w:t>
      </w:r>
    </w:p>
    <w:p w14:paraId="3C5D60A1"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Safeguarding awareness training</w:t>
      </w:r>
      <w:r w:rsidR="006C47DE">
        <w:rPr>
          <w:rFonts w:eastAsia="Calibri" w:cs="Arial"/>
          <w:szCs w:val="22"/>
          <w:lang w:eastAsia="en-US"/>
        </w:rPr>
        <w:t>.</w:t>
      </w:r>
    </w:p>
    <w:p w14:paraId="6550E6C3" w14:textId="77777777" w:rsidR="002F29E5" w:rsidRPr="00F75997" w:rsidRDefault="002F29E5" w:rsidP="008D6739">
      <w:pPr>
        <w:ind w:left="720"/>
        <w:contextualSpacing/>
        <w:rPr>
          <w:rFonts w:eastAsia="Calibri" w:cs="Arial"/>
          <w:szCs w:val="22"/>
          <w:lang w:eastAsia="en-US"/>
        </w:rPr>
      </w:pPr>
    </w:p>
    <w:p w14:paraId="6BB1C4B8" w14:textId="77777777" w:rsidR="00F75997" w:rsidRDefault="00F75997" w:rsidP="008D6739">
      <w:pPr>
        <w:rPr>
          <w:rFonts w:eastAsia="Calibri" w:cs="Arial"/>
          <w:szCs w:val="22"/>
          <w:lang w:eastAsia="en-US"/>
        </w:rPr>
      </w:pPr>
      <w:proofErr w:type="gramStart"/>
      <w:r w:rsidRPr="00F75997">
        <w:rPr>
          <w:rFonts w:eastAsia="Calibri" w:cs="Arial"/>
          <w:szCs w:val="22"/>
          <w:lang w:eastAsia="en-US"/>
        </w:rPr>
        <w:t>With regard to</w:t>
      </w:r>
      <w:proofErr w:type="gramEnd"/>
      <w:r w:rsidRPr="00F75997">
        <w:rPr>
          <w:rFonts w:eastAsia="Calibri" w:cs="Arial"/>
          <w:szCs w:val="22"/>
          <w:lang w:eastAsia="en-US"/>
        </w:rPr>
        <w:t xml:space="preserve"> renewals of these permits, the Licensing Authority may refuse an application for renewal of a permit only on the grounds that an authorised local authority officer has been refused access to the premises without reasonable excuse or that renewal would not be reasonably consistent with pursuit of the licensing objectives.</w:t>
      </w:r>
    </w:p>
    <w:p w14:paraId="1DD4A6AE" w14:textId="77777777" w:rsidR="006C47DE" w:rsidRPr="00F75997" w:rsidRDefault="006C47DE" w:rsidP="008D6739">
      <w:pPr>
        <w:rPr>
          <w:rFonts w:eastAsia="Calibri" w:cs="Arial"/>
          <w:szCs w:val="22"/>
          <w:lang w:eastAsia="en-US"/>
        </w:rPr>
      </w:pPr>
    </w:p>
    <w:p w14:paraId="020B20FB" w14:textId="77777777" w:rsidR="00877F1D" w:rsidRDefault="00297614" w:rsidP="008D6739">
      <w:pPr>
        <w:rPr>
          <w:rFonts w:eastAsia="Calibri" w:cs="Arial"/>
          <w:b/>
          <w:szCs w:val="22"/>
          <w:lang w:eastAsia="en-US"/>
        </w:rPr>
      </w:pPr>
      <w:r>
        <w:rPr>
          <w:rFonts w:eastAsia="Calibri" w:cs="Arial"/>
          <w:b/>
          <w:szCs w:val="22"/>
          <w:lang w:eastAsia="en-US"/>
        </w:rPr>
        <w:t>Automatic Entitlement for Alcohol licensed premises</w:t>
      </w:r>
    </w:p>
    <w:p w14:paraId="7FFCE065" w14:textId="77777777" w:rsidR="00877F1D" w:rsidRDefault="00877F1D" w:rsidP="008D6739">
      <w:pPr>
        <w:rPr>
          <w:rFonts w:eastAsia="Calibri" w:cs="Arial"/>
          <w:b/>
          <w:szCs w:val="22"/>
          <w:lang w:eastAsia="en-US"/>
        </w:rPr>
      </w:pPr>
    </w:p>
    <w:p w14:paraId="23399122" w14:textId="77777777" w:rsidR="00877F1D" w:rsidRDefault="00F75997" w:rsidP="008D6739">
      <w:pPr>
        <w:rPr>
          <w:rFonts w:eastAsia="Calibri" w:cs="Arial"/>
          <w:szCs w:val="22"/>
          <w:lang w:eastAsia="en-US"/>
        </w:rPr>
      </w:pPr>
      <w:r w:rsidRPr="00F75997">
        <w:rPr>
          <w:rFonts w:eastAsia="Calibri" w:cs="Arial"/>
          <w:szCs w:val="22"/>
          <w:lang w:eastAsia="en-US"/>
        </w:rPr>
        <w:t>There is provision in the Act for premises licensed to sell alcohol for consumption on the premises</w:t>
      </w:r>
      <w:r w:rsidR="00877F1D">
        <w:rPr>
          <w:rFonts w:eastAsia="Calibri" w:cs="Arial"/>
          <w:szCs w:val="22"/>
          <w:lang w:eastAsia="en-US"/>
        </w:rPr>
        <w:t xml:space="preserve">, to automatically </w:t>
      </w:r>
      <w:r w:rsidR="00297614">
        <w:rPr>
          <w:rFonts w:eastAsia="Calibri" w:cs="Arial"/>
          <w:szCs w:val="22"/>
          <w:lang w:eastAsia="en-US"/>
        </w:rPr>
        <w:t xml:space="preserve">be able to </w:t>
      </w:r>
      <w:r w:rsidR="00877F1D">
        <w:rPr>
          <w:rFonts w:eastAsia="Calibri" w:cs="Arial"/>
          <w:szCs w:val="22"/>
          <w:lang w:eastAsia="en-US"/>
        </w:rPr>
        <w:t>make available</w:t>
      </w:r>
      <w:r w:rsidRPr="00F75997">
        <w:rPr>
          <w:rFonts w:eastAsia="Calibri" w:cs="Arial"/>
          <w:szCs w:val="22"/>
          <w:lang w:eastAsia="en-US"/>
        </w:rPr>
        <w:t xml:space="preserve"> two gaming machines of categories C and/or D. The premises licence holders merely need to notify the Licensing Authority</w:t>
      </w:r>
      <w:r w:rsidR="00877F1D">
        <w:rPr>
          <w:rFonts w:eastAsia="Calibri" w:cs="Arial"/>
          <w:szCs w:val="22"/>
          <w:lang w:eastAsia="en-US"/>
        </w:rPr>
        <w:t xml:space="preserve"> with the accompanying fee</w:t>
      </w:r>
      <w:r w:rsidRPr="00F75997">
        <w:rPr>
          <w:rFonts w:eastAsia="Calibri" w:cs="Arial"/>
          <w:szCs w:val="22"/>
          <w:lang w:eastAsia="en-US"/>
        </w:rPr>
        <w:t xml:space="preserve">. </w:t>
      </w:r>
    </w:p>
    <w:p w14:paraId="72819B4B" w14:textId="77777777" w:rsidR="00877F1D" w:rsidRDefault="00877F1D" w:rsidP="008D6739">
      <w:pPr>
        <w:rPr>
          <w:rFonts w:eastAsia="Calibri" w:cs="Arial"/>
          <w:szCs w:val="22"/>
          <w:lang w:eastAsia="en-US"/>
        </w:rPr>
      </w:pPr>
    </w:p>
    <w:p w14:paraId="712F7332" w14:textId="77777777" w:rsidR="00F75997" w:rsidRPr="00F75997" w:rsidRDefault="00F75997" w:rsidP="008D6739">
      <w:pPr>
        <w:rPr>
          <w:rFonts w:eastAsia="Calibri" w:cs="Arial"/>
          <w:szCs w:val="22"/>
          <w:lang w:eastAsia="en-US"/>
        </w:rPr>
      </w:pPr>
      <w:r w:rsidRPr="00F75997">
        <w:rPr>
          <w:rFonts w:eastAsia="Calibri" w:cs="Arial"/>
          <w:szCs w:val="22"/>
          <w:lang w:eastAsia="en-US"/>
        </w:rPr>
        <w:t xml:space="preserve">The Licensing Authority may make an order disapplying the automatic entitlement in respect of any </w:t>
      </w:r>
      <w:proofErr w:type="gramStart"/>
      <w:r w:rsidRPr="00F75997">
        <w:rPr>
          <w:rFonts w:eastAsia="Calibri" w:cs="Arial"/>
          <w:szCs w:val="22"/>
          <w:lang w:eastAsia="en-US"/>
        </w:rPr>
        <w:t>particular premises</w:t>
      </w:r>
      <w:proofErr w:type="gramEnd"/>
      <w:r w:rsidRPr="00F75997">
        <w:rPr>
          <w:rFonts w:eastAsia="Calibri" w:cs="Arial"/>
          <w:szCs w:val="22"/>
          <w:lang w:eastAsia="en-US"/>
        </w:rPr>
        <w:t xml:space="preserve"> if:</w:t>
      </w:r>
    </w:p>
    <w:p w14:paraId="4463352F"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provision of the machines is not reasonably consistent with the pursuit of the licensing </w:t>
      </w:r>
      <w:proofErr w:type="gramStart"/>
      <w:r w:rsidRPr="00F75997">
        <w:rPr>
          <w:rFonts w:eastAsia="Calibri" w:cs="Arial"/>
          <w:szCs w:val="22"/>
          <w:lang w:eastAsia="en-US"/>
        </w:rPr>
        <w:t>objectives;</w:t>
      </w:r>
      <w:proofErr w:type="gramEnd"/>
    </w:p>
    <w:p w14:paraId="2CFC14D5"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gaming has taken place on the premises that breaches a condition of section 282 of the Gambling Act </w:t>
      </w:r>
      <w:proofErr w:type="gramStart"/>
      <w:r w:rsidRPr="00F75997">
        <w:rPr>
          <w:rFonts w:eastAsia="Calibri" w:cs="Arial"/>
          <w:szCs w:val="22"/>
          <w:lang w:eastAsia="en-US"/>
        </w:rPr>
        <w:t>2005;</w:t>
      </w:r>
      <w:proofErr w:type="gramEnd"/>
    </w:p>
    <w:p w14:paraId="5DB7F12A"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the premises are mainly used for gaming; or</w:t>
      </w:r>
    </w:p>
    <w:p w14:paraId="74ABC487"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an offence under the Gambling Act 2005 has been committed on the premises.</w:t>
      </w:r>
    </w:p>
    <w:p w14:paraId="7C9F5AF0" w14:textId="77777777" w:rsidR="00297614" w:rsidRDefault="00297614" w:rsidP="00297614">
      <w:pPr>
        <w:contextualSpacing/>
        <w:rPr>
          <w:rFonts w:eastAsia="Calibri" w:cs="Arial"/>
          <w:szCs w:val="22"/>
          <w:lang w:eastAsia="en-US"/>
        </w:rPr>
      </w:pPr>
    </w:p>
    <w:p w14:paraId="0870989C" w14:textId="77777777" w:rsidR="002F29E5" w:rsidRDefault="00297614" w:rsidP="00297614">
      <w:pPr>
        <w:contextualSpacing/>
        <w:rPr>
          <w:rFonts w:eastAsia="Calibri" w:cs="Arial"/>
          <w:szCs w:val="22"/>
          <w:lang w:eastAsia="en-US"/>
        </w:rPr>
      </w:pPr>
      <w:r w:rsidRPr="00F75997">
        <w:rPr>
          <w:rFonts w:eastAsia="Calibri" w:cs="Arial"/>
          <w:b/>
          <w:szCs w:val="22"/>
          <w:lang w:eastAsia="en-US"/>
        </w:rPr>
        <w:t xml:space="preserve">Licensed Premises </w:t>
      </w:r>
      <w:r>
        <w:rPr>
          <w:rFonts w:eastAsia="Calibri" w:cs="Arial"/>
          <w:b/>
          <w:szCs w:val="22"/>
          <w:lang w:eastAsia="en-US"/>
        </w:rPr>
        <w:t xml:space="preserve">Gaming Machine Permits issued under </w:t>
      </w:r>
      <w:r w:rsidRPr="00F75997">
        <w:rPr>
          <w:rFonts w:eastAsia="Calibri" w:cs="Arial"/>
          <w:b/>
          <w:szCs w:val="22"/>
          <w:lang w:eastAsia="en-US"/>
        </w:rPr>
        <w:t>Schedule 13</w:t>
      </w:r>
    </w:p>
    <w:p w14:paraId="629B500B" w14:textId="77777777" w:rsidR="00297614" w:rsidRPr="00F75997" w:rsidRDefault="00297614" w:rsidP="008D6739">
      <w:pPr>
        <w:ind w:left="720"/>
        <w:contextualSpacing/>
        <w:rPr>
          <w:rFonts w:eastAsia="Calibri" w:cs="Arial"/>
          <w:szCs w:val="22"/>
          <w:lang w:eastAsia="en-US"/>
        </w:rPr>
      </w:pPr>
    </w:p>
    <w:p w14:paraId="7B5A98C0" w14:textId="77777777" w:rsidR="00F75997" w:rsidRDefault="00F75997" w:rsidP="008D6739">
      <w:pPr>
        <w:rPr>
          <w:rFonts w:eastAsia="Calibri" w:cs="Arial"/>
          <w:szCs w:val="22"/>
          <w:lang w:eastAsia="en-US"/>
        </w:rPr>
      </w:pPr>
      <w:r w:rsidRPr="00F75997">
        <w:rPr>
          <w:rFonts w:eastAsia="Calibri" w:cs="Arial"/>
          <w:szCs w:val="22"/>
          <w:lang w:eastAsia="en-US"/>
        </w:rPr>
        <w:t>If a premises wishes to have more than two machines, then it needs to apply for a permit and the Licensing Authority will consider that application based upon the licensing objectives, any Guidance issued by the Gambling Commission issued under Section 25 of the Gambling Act 2005, and “such matters as they think relevant.”</w:t>
      </w:r>
    </w:p>
    <w:p w14:paraId="5DA2E706" w14:textId="77777777" w:rsidR="00297614" w:rsidRPr="00F75997" w:rsidRDefault="00297614" w:rsidP="008D6739">
      <w:pPr>
        <w:rPr>
          <w:rFonts w:eastAsia="Calibri" w:cs="Arial"/>
          <w:szCs w:val="22"/>
          <w:lang w:eastAsia="en-US"/>
        </w:rPr>
      </w:pPr>
    </w:p>
    <w:p w14:paraId="4D85B2F6" w14:textId="77777777" w:rsidR="00F75997" w:rsidRDefault="00F75997" w:rsidP="008D6739">
      <w:pPr>
        <w:rPr>
          <w:rFonts w:eastAsia="Calibri" w:cs="Arial"/>
          <w:szCs w:val="22"/>
          <w:lang w:eastAsia="en-US"/>
        </w:rPr>
      </w:pPr>
      <w:r w:rsidRPr="00F75997">
        <w:rPr>
          <w:rFonts w:eastAsia="Calibri" w:cs="Arial"/>
          <w:szCs w:val="22"/>
          <w:lang w:eastAsia="en-US"/>
        </w:rPr>
        <w:t xml:space="preserve">This Licensing Authority considers that “such matters” will be decided on a </w:t>
      </w:r>
      <w:proofErr w:type="gramStart"/>
      <w:r w:rsidRPr="00F75997">
        <w:rPr>
          <w:rFonts w:eastAsia="Calibri" w:cs="Arial"/>
          <w:szCs w:val="22"/>
          <w:lang w:eastAsia="en-US"/>
        </w:rPr>
        <w:t>case by case</w:t>
      </w:r>
      <w:proofErr w:type="gramEnd"/>
      <w:r w:rsidRPr="00F75997">
        <w:rPr>
          <w:rFonts w:eastAsia="Calibri" w:cs="Arial"/>
          <w:szCs w:val="22"/>
          <w:lang w:eastAsia="en-US"/>
        </w:rPr>
        <w:t xml:space="preserve"> basis, but generally there will be regard to the need to protect children and vulnerable persons from being harmed or</w:t>
      </w:r>
      <w:r w:rsidR="00297614">
        <w:rPr>
          <w:rFonts w:eastAsia="Calibri" w:cs="Arial"/>
          <w:szCs w:val="22"/>
          <w:lang w:eastAsia="en-US"/>
        </w:rPr>
        <w:t xml:space="preserve"> being exploited by gambling. We</w:t>
      </w:r>
      <w:r w:rsidRPr="00F75997">
        <w:rPr>
          <w:rFonts w:eastAsia="Calibri" w:cs="Arial"/>
          <w:szCs w:val="22"/>
          <w:lang w:eastAsia="en-US"/>
        </w:rPr>
        <w:t xml:space="preserve"> will expect the applicant to satisfy the authority that there will be sufficient measures to ensure that under </w:t>
      </w:r>
      <w:proofErr w:type="gramStart"/>
      <w:r w:rsidRPr="00F75997">
        <w:rPr>
          <w:rFonts w:eastAsia="Calibri" w:cs="Arial"/>
          <w:szCs w:val="22"/>
          <w:lang w:eastAsia="en-US"/>
        </w:rPr>
        <w:t>18 year olds</w:t>
      </w:r>
      <w:proofErr w:type="gramEnd"/>
      <w:r w:rsidRPr="00F75997">
        <w:rPr>
          <w:rFonts w:eastAsia="Calibri" w:cs="Arial"/>
          <w:szCs w:val="22"/>
          <w:lang w:eastAsia="en-US"/>
        </w:rPr>
        <w:t xml:space="preserve"> do not have access to the adult only gaming </w:t>
      </w:r>
      <w:r w:rsidRPr="00F75997">
        <w:rPr>
          <w:rFonts w:eastAsia="Calibri" w:cs="Arial"/>
          <w:szCs w:val="22"/>
          <w:lang w:eastAsia="en-US"/>
        </w:rPr>
        <w:lastRenderedPageBreak/>
        <w:t>machines. Premises should be configured so that children are not invited to participate in, have accidental access to, or closely observe gambling where they are prohibited from participating.</w:t>
      </w:r>
    </w:p>
    <w:p w14:paraId="1D2F62C8" w14:textId="77777777" w:rsidR="00297614" w:rsidRPr="00F75997" w:rsidRDefault="00297614" w:rsidP="008D6739">
      <w:pPr>
        <w:rPr>
          <w:rFonts w:eastAsia="Calibri" w:cs="Arial"/>
          <w:szCs w:val="22"/>
          <w:lang w:eastAsia="en-US"/>
        </w:rPr>
      </w:pPr>
    </w:p>
    <w:p w14:paraId="3DED5D36" w14:textId="77777777" w:rsidR="00F75997" w:rsidRDefault="00F75997" w:rsidP="008D6739">
      <w:pPr>
        <w:rPr>
          <w:rFonts w:eastAsia="Calibri" w:cs="Arial"/>
          <w:szCs w:val="22"/>
          <w:lang w:eastAsia="en-US"/>
        </w:rPr>
      </w:pPr>
      <w:r w:rsidRPr="00F75997">
        <w:rPr>
          <w:rFonts w:eastAsia="Calibri" w:cs="Arial"/>
          <w:szCs w:val="22"/>
          <w:lang w:eastAsia="en-US"/>
        </w:rPr>
        <w:t>Measures which will satisfy the Licensing Authority that there will be no access may include the adult machines being in sight of the bar or in the sight of staff that will monitor that the machines are not being used by those under 18 years old. Notices and signage may also help. As regards the protection of vulnerable persons</w:t>
      </w:r>
      <w:r w:rsidR="00297614">
        <w:rPr>
          <w:rFonts w:eastAsia="Calibri" w:cs="Arial"/>
          <w:szCs w:val="22"/>
          <w:lang w:eastAsia="en-US"/>
        </w:rPr>
        <w:t xml:space="preserve">, </w:t>
      </w:r>
      <w:r w:rsidRPr="00F75997">
        <w:rPr>
          <w:rFonts w:eastAsia="Calibri" w:cs="Arial"/>
          <w:szCs w:val="22"/>
          <w:lang w:eastAsia="en-US"/>
        </w:rPr>
        <w:t>applicants may wish to consider the pr</w:t>
      </w:r>
      <w:r w:rsidR="00297614">
        <w:rPr>
          <w:rFonts w:eastAsia="Calibri" w:cs="Arial"/>
          <w:szCs w:val="22"/>
          <w:lang w:eastAsia="en-US"/>
        </w:rPr>
        <w:t xml:space="preserve">ovision of information leaflets or </w:t>
      </w:r>
      <w:r w:rsidRPr="00F75997">
        <w:rPr>
          <w:rFonts w:eastAsia="Calibri" w:cs="Arial"/>
          <w:szCs w:val="22"/>
          <w:lang w:eastAsia="en-US"/>
        </w:rPr>
        <w:t xml:space="preserve">helpline numbers for organisations such as </w:t>
      </w:r>
      <w:proofErr w:type="spellStart"/>
      <w:r w:rsidRPr="00F75997">
        <w:rPr>
          <w:rFonts w:eastAsia="Calibri" w:cs="Arial"/>
          <w:szCs w:val="22"/>
          <w:lang w:eastAsia="en-US"/>
        </w:rPr>
        <w:t>GamCare</w:t>
      </w:r>
      <w:proofErr w:type="spellEnd"/>
      <w:r w:rsidRPr="00F75997">
        <w:rPr>
          <w:rFonts w:eastAsia="Calibri" w:cs="Arial"/>
          <w:szCs w:val="22"/>
          <w:lang w:eastAsia="en-US"/>
        </w:rPr>
        <w:t>.</w:t>
      </w:r>
    </w:p>
    <w:p w14:paraId="561DB031" w14:textId="77777777" w:rsidR="00297614" w:rsidRPr="00F75997" w:rsidRDefault="00297614" w:rsidP="008D6739">
      <w:pPr>
        <w:rPr>
          <w:rFonts w:eastAsia="Calibri" w:cs="Arial"/>
          <w:szCs w:val="22"/>
          <w:lang w:eastAsia="en-US"/>
        </w:rPr>
      </w:pPr>
    </w:p>
    <w:p w14:paraId="4BFD1DE5" w14:textId="77777777" w:rsidR="00F75997" w:rsidRDefault="00F75997" w:rsidP="008D6739">
      <w:pPr>
        <w:rPr>
          <w:rFonts w:eastAsia="Calibri" w:cs="Arial"/>
          <w:szCs w:val="22"/>
          <w:lang w:eastAsia="en-US"/>
        </w:rPr>
      </w:pPr>
      <w:r w:rsidRPr="00F75997">
        <w:rPr>
          <w:rFonts w:eastAsia="Calibri" w:cs="Arial"/>
          <w:szCs w:val="22"/>
          <w:lang w:eastAsia="en-US"/>
        </w:rPr>
        <w:t>It should be noted that the Licensing Authority can decide to grant the application with a smaller number of machines and/or a different category of machines than that applied for. Conditions (other than these) cannot be attached.</w:t>
      </w:r>
    </w:p>
    <w:p w14:paraId="4870A8B7" w14:textId="77777777" w:rsidR="00297614" w:rsidRPr="00F75997" w:rsidRDefault="00297614" w:rsidP="008D6739">
      <w:pPr>
        <w:rPr>
          <w:rFonts w:eastAsia="Calibri" w:cs="Arial"/>
          <w:szCs w:val="22"/>
          <w:lang w:eastAsia="en-US"/>
        </w:rPr>
      </w:pPr>
    </w:p>
    <w:p w14:paraId="25055C1C" w14:textId="77777777" w:rsidR="00F75997" w:rsidRDefault="00F75997" w:rsidP="008D6739">
      <w:pPr>
        <w:rPr>
          <w:rFonts w:eastAsia="Calibri" w:cs="Arial"/>
          <w:szCs w:val="22"/>
          <w:lang w:eastAsia="en-US"/>
        </w:rPr>
      </w:pPr>
      <w:r w:rsidRPr="00F75997">
        <w:rPr>
          <w:rFonts w:eastAsia="Calibri" w:cs="Arial"/>
          <w:szCs w:val="22"/>
          <w:lang w:eastAsia="en-US"/>
        </w:rPr>
        <w:t>It should also be noted that the holder of a permit must comply with any Code of Practice, as amended, issued by the Gambling Commission about the location and operation of the machine.</w:t>
      </w:r>
    </w:p>
    <w:p w14:paraId="59AB59AA" w14:textId="77777777" w:rsidR="00297614" w:rsidRPr="00F75997" w:rsidRDefault="00297614" w:rsidP="008D6739">
      <w:pPr>
        <w:rPr>
          <w:rFonts w:eastAsia="Calibri" w:cs="Arial"/>
          <w:szCs w:val="22"/>
          <w:lang w:eastAsia="en-US"/>
        </w:rPr>
      </w:pPr>
    </w:p>
    <w:p w14:paraId="1D9BB124" w14:textId="77777777" w:rsidR="00F75997" w:rsidRDefault="00297614" w:rsidP="008D6739">
      <w:pPr>
        <w:rPr>
          <w:rFonts w:eastAsia="Calibri" w:cs="Arial"/>
          <w:b/>
          <w:szCs w:val="22"/>
          <w:lang w:eastAsia="en-US"/>
        </w:rPr>
      </w:pPr>
      <w:r>
        <w:rPr>
          <w:rFonts w:eastAsia="Calibri" w:cs="Arial"/>
          <w:b/>
          <w:szCs w:val="22"/>
          <w:lang w:eastAsia="en-US"/>
        </w:rPr>
        <w:t xml:space="preserve">Prize Gaming Permits issued under Schedule 14 </w:t>
      </w:r>
    </w:p>
    <w:p w14:paraId="78E77882" w14:textId="77777777" w:rsidR="00297614" w:rsidRPr="00F75997" w:rsidRDefault="00297614" w:rsidP="008D6739">
      <w:pPr>
        <w:rPr>
          <w:rFonts w:eastAsia="Calibri" w:cs="Arial"/>
          <w:b/>
          <w:szCs w:val="22"/>
          <w:lang w:eastAsia="en-US"/>
        </w:rPr>
      </w:pPr>
    </w:p>
    <w:p w14:paraId="63070989" w14:textId="77777777" w:rsidR="0095055F" w:rsidRDefault="0095055F" w:rsidP="008D6739">
      <w:pPr>
        <w:rPr>
          <w:rFonts w:eastAsia="Calibri" w:cs="Arial"/>
          <w:szCs w:val="22"/>
          <w:lang w:eastAsia="en-US"/>
        </w:rPr>
      </w:pPr>
      <w:r>
        <w:rPr>
          <w:rFonts w:eastAsia="Calibri" w:cs="Arial"/>
          <w:szCs w:val="22"/>
          <w:lang w:eastAsia="en-US"/>
        </w:rPr>
        <w:t>Prize gaming is where the prize is not determined by the number of persons playing or the amount paid for or raised by the gaming.</w:t>
      </w:r>
    </w:p>
    <w:p w14:paraId="2005C5C8" w14:textId="77777777" w:rsidR="0095055F" w:rsidRDefault="0095055F" w:rsidP="008D6739">
      <w:pPr>
        <w:rPr>
          <w:rFonts w:eastAsia="Calibri" w:cs="Arial"/>
          <w:szCs w:val="22"/>
          <w:lang w:eastAsia="en-US"/>
        </w:rPr>
      </w:pPr>
    </w:p>
    <w:p w14:paraId="18814A8C" w14:textId="77777777" w:rsidR="00F75997" w:rsidRDefault="0095055F" w:rsidP="008D6739">
      <w:pPr>
        <w:rPr>
          <w:rFonts w:eastAsia="Calibri" w:cs="Arial"/>
          <w:szCs w:val="22"/>
          <w:lang w:eastAsia="en-US"/>
        </w:rPr>
      </w:pPr>
      <w:r>
        <w:rPr>
          <w:rFonts w:eastAsia="Calibri" w:cs="Arial"/>
          <w:szCs w:val="22"/>
          <w:lang w:eastAsia="en-US"/>
        </w:rPr>
        <w:t>It is expected that a premises that holds this type of permit</w:t>
      </w:r>
      <w:r w:rsidR="00F75997" w:rsidRPr="00F75997">
        <w:rPr>
          <w:rFonts w:eastAsia="Calibri" w:cs="Arial"/>
          <w:szCs w:val="22"/>
          <w:lang w:eastAsia="en-US"/>
        </w:rPr>
        <w:t xml:space="preserve"> will particularly appeal</w:t>
      </w:r>
      <w:r>
        <w:rPr>
          <w:rFonts w:eastAsia="Calibri" w:cs="Arial"/>
          <w:szCs w:val="22"/>
          <w:lang w:eastAsia="en-US"/>
        </w:rPr>
        <w:t xml:space="preserve"> to children and young persons. I</w:t>
      </w:r>
      <w:r w:rsidR="00F75997" w:rsidRPr="00F75997">
        <w:rPr>
          <w:rFonts w:eastAsia="Calibri" w:cs="Arial"/>
          <w:szCs w:val="22"/>
          <w:lang w:eastAsia="en-US"/>
        </w:rPr>
        <w:t xml:space="preserve">n considering what to </w:t>
      </w:r>
      <w:proofErr w:type="gramStart"/>
      <w:r w:rsidR="00F75997" w:rsidRPr="00F75997">
        <w:rPr>
          <w:rFonts w:eastAsia="Calibri" w:cs="Arial"/>
          <w:szCs w:val="22"/>
          <w:lang w:eastAsia="en-US"/>
        </w:rPr>
        <w:t>take into account</w:t>
      </w:r>
      <w:proofErr w:type="gramEnd"/>
      <w:r w:rsidR="00F75997" w:rsidRPr="00F75997">
        <w:rPr>
          <w:rFonts w:eastAsia="Calibri" w:cs="Arial"/>
          <w:szCs w:val="22"/>
          <w:lang w:eastAsia="en-US"/>
        </w:rPr>
        <w:t xml:space="preserve"> in the application process and what information to request from the applicant, the Licensing Authority will want to give weight to child protection issues and will ask the applicant to set out the types of gaming that he or she is intending to offer. The applicant will be expected to show that there are policies and procedures in place to protect children from harm. Harm in this context is not limited to harm from gambling but includes wider child protection considerations.</w:t>
      </w:r>
    </w:p>
    <w:p w14:paraId="33159BE0" w14:textId="77777777" w:rsidR="00796732" w:rsidRPr="00F75997" w:rsidRDefault="00796732" w:rsidP="008D6739">
      <w:pPr>
        <w:rPr>
          <w:rFonts w:eastAsia="Calibri" w:cs="Arial"/>
          <w:szCs w:val="22"/>
          <w:lang w:eastAsia="en-US"/>
        </w:rPr>
      </w:pPr>
    </w:p>
    <w:p w14:paraId="5F09B0FF"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What staff should do if they suspect that truant children are on the </w:t>
      </w:r>
      <w:proofErr w:type="gramStart"/>
      <w:r w:rsidRPr="00F75997">
        <w:rPr>
          <w:rFonts w:eastAsia="Calibri" w:cs="Arial"/>
          <w:szCs w:val="22"/>
          <w:lang w:eastAsia="en-US"/>
        </w:rPr>
        <w:t>premises;</w:t>
      </w:r>
      <w:proofErr w:type="gramEnd"/>
    </w:p>
    <w:p w14:paraId="11D81190"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How staff should deal with unsupervised young children on the </w:t>
      </w:r>
      <w:proofErr w:type="gramStart"/>
      <w:r w:rsidRPr="00F75997">
        <w:rPr>
          <w:rFonts w:eastAsia="Calibri" w:cs="Arial"/>
          <w:szCs w:val="22"/>
          <w:lang w:eastAsia="en-US"/>
        </w:rPr>
        <w:t>premises;</w:t>
      </w:r>
      <w:proofErr w:type="gramEnd"/>
    </w:p>
    <w:p w14:paraId="29267C82"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How staff should deal with children causing perceived problems on or around the </w:t>
      </w:r>
      <w:proofErr w:type="gramStart"/>
      <w:r w:rsidRPr="00F75997">
        <w:rPr>
          <w:rFonts w:eastAsia="Calibri" w:cs="Arial"/>
          <w:szCs w:val="22"/>
          <w:lang w:eastAsia="en-US"/>
        </w:rPr>
        <w:t>premises;</w:t>
      </w:r>
      <w:proofErr w:type="gramEnd"/>
    </w:p>
    <w:p w14:paraId="44834DBC" w14:textId="77777777" w:rsidR="00F75997" w:rsidRPr="00653E9B" w:rsidRDefault="00653E9B" w:rsidP="00653E9B">
      <w:pPr>
        <w:numPr>
          <w:ilvl w:val="0"/>
          <w:numId w:val="15"/>
        </w:numPr>
        <w:contextualSpacing/>
        <w:rPr>
          <w:rFonts w:eastAsia="Calibri" w:cs="Arial"/>
          <w:szCs w:val="22"/>
          <w:lang w:eastAsia="en-US"/>
        </w:rPr>
      </w:pPr>
      <w:r w:rsidRPr="00F75997">
        <w:rPr>
          <w:rFonts w:eastAsia="Calibri" w:cs="Arial"/>
          <w:szCs w:val="22"/>
          <w:lang w:eastAsia="en-US"/>
        </w:rPr>
        <w:t>Safeguarding awareness training</w:t>
      </w:r>
      <w:r>
        <w:rPr>
          <w:rFonts w:eastAsia="Calibri" w:cs="Arial"/>
          <w:szCs w:val="22"/>
          <w:lang w:eastAsia="en-US"/>
        </w:rPr>
        <w:t xml:space="preserve"> and access to associated materials on site for all staff, including in relation to child sexual </w:t>
      </w:r>
      <w:proofErr w:type="gramStart"/>
      <w:r>
        <w:rPr>
          <w:rFonts w:eastAsia="Calibri" w:cs="Arial"/>
          <w:szCs w:val="22"/>
          <w:lang w:eastAsia="en-US"/>
        </w:rPr>
        <w:t>exploitation;</w:t>
      </w:r>
      <w:proofErr w:type="gramEnd"/>
    </w:p>
    <w:p w14:paraId="7C49FC36"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A basis criminal record check for staff or equivalent criminal records </w:t>
      </w:r>
      <w:proofErr w:type="gramStart"/>
      <w:r w:rsidRPr="00F75997">
        <w:rPr>
          <w:rFonts w:eastAsia="Calibri" w:cs="Arial"/>
          <w:szCs w:val="22"/>
          <w:lang w:eastAsia="en-US"/>
        </w:rPr>
        <w:t>check</w:t>
      </w:r>
      <w:proofErr w:type="gramEnd"/>
      <w:r w:rsidRPr="00F75997">
        <w:rPr>
          <w:rFonts w:eastAsia="Calibri" w:cs="Arial"/>
          <w:szCs w:val="22"/>
          <w:lang w:eastAsia="en-US"/>
        </w:rPr>
        <w:t xml:space="preserve"> for the applicant and also the person who has the day</w:t>
      </w:r>
      <w:r w:rsidR="00712BDD">
        <w:rPr>
          <w:rFonts w:eastAsia="Calibri" w:cs="Arial"/>
          <w:szCs w:val="22"/>
          <w:lang w:eastAsia="en-US"/>
        </w:rPr>
        <w:t xml:space="preserve"> to day control of the premises.</w:t>
      </w:r>
    </w:p>
    <w:p w14:paraId="3D5D986E" w14:textId="77777777" w:rsidR="002F29E5" w:rsidRPr="00F75997" w:rsidRDefault="002F29E5" w:rsidP="008D6739">
      <w:pPr>
        <w:ind w:left="720"/>
        <w:contextualSpacing/>
        <w:rPr>
          <w:rFonts w:eastAsia="Calibri" w:cs="Arial"/>
          <w:szCs w:val="22"/>
          <w:lang w:eastAsia="en-US"/>
        </w:rPr>
      </w:pPr>
    </w:p>
    <w:p w14:paraId="4AAD94B1" w14:textId="77777777" w:rsidR="00F75997" w:rsidRPr="00F75997" w:rsidRDefault="00F75997" w:rsidP="008D6739">
      <w:pPr>
        <w:rPr>
          <w:rFonts w:eastAsia="Calibri" w:cs="Arial"/>
          <w:szCs w:val="22"/>
          <w:lang w:eastAsia="en-US"/>
        </w:rPr>
      </w:pPr>
      <w:r w:rsidRPr="00F75997">
        <w:rPr>
          <w:rFonts w:eastAsia="Calibri" w:cs="Arial"/>
          <w:szCs w:val="22"/>
          <w:lang w:eastAsia="en-US"/>
        </w:rPr>
        <w:t>The Licensing Authority will also expect applicants to demonstrate</w:t>
      </w:r>
    </w:p>
    <w:p w14:paraId="002E3740"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a full understanding of the maximum stakes and prizes of the gamblin</w:t>
      </w:r>
      <w:r w:rsidR="00712BDD">
        <w:rPr>
          <w:rFonts w:eastAsia="Calibri" w:cs="Arial"/>
          <w:szCs w:val="22"/>
          <w:lang w:eastAsia="en-US"/>
        </w:rPr>
        <w:t xml:space="preserve">g that is </w:t>
      </w:r>
      <w:proofErr w:type="gramStart"/>
      <w:r w:rsidR="00712BDD">
        <w:rPr>
          <w:rFonts w:eastAsia="Calibri" w:cs="Arial"/>
          <w:szCs w:val="22"/>
          <w:lang w:eastAsia="en-US"/>
        </w:rPr>
        <w:t>permissible</w:t>
      </w:r>
      <w:r w:rsidRPr="00F75997">
        <w:rPr>
          <w:rFonts w:eastAsia="Calibri" w:cs="Arial"/>
          <w:szCs w:val="22"/>
          <w:lang w:eastAsia="en-US"/>
        </w:rPr>
        <w:t>;</w:t>
      </w:r>
      <w:proofErr w:type="gramEnd"/>
    </w:p>
    <w:p w14:paraId="080A49C7"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that the applicant has no relevant convictions (those that are set out in Schedule 7 of the Act</w:t>
      </w:r>
      <w:proofErr w:type="gramStart"/>
      <w:r w:rsidRPr="00F75997">
        <w:rPr>
          <w:rFonts w:eastAsia="Calibri" w:cs="Arial"/>
          <w:szCs w:val="22"/>
          <w:lang w:eastAsia="en-US"/>
        </w:rPr>
        <w:t>);</w:t>
      </w:r>
      <w:proofErr w:type="gramEnd"/>
    </w:p>
    <w:p w14:paraId="0DBCFB43"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that staff are trained to have full understanding of the maximum stakes and prizes</w:t>
      </w:r>
      <w:r w:rsidR="00712915">
        <w:rPr>
          <w:rFonts w:eastAsia="Calibri" w:cs="Arial"/>
          <w:szCs w:val="22"/>
          <w:lang w:eastAsia="en-US"/>
        </w:rPr>
        <w:t xml:space="preserve"> (</w:t>
      </w:r>
      <w:r w:rsidR="00712915" w:rsidRPr="00712915">
        <w:rPr>
          <w:rFonts w:eastAsia="Calibri" w:cs="Arial"/>
          <w:szCs w:val="22"/>
          <w:lang w:eastAsia="en-US"/>
        </w:rPr>
        <w:t xml:space="preserve">full, up to date details, are available on the Gambling Commission website - </w:t>
      </w:r>
      <w:hyperlink r:id="rId17" w:history="1">
        <w:r w:rsidR="00712915" w:rsidRPr="004C67FD">
          <w:rPr>
            <w:rStyle w:val="Hyperlink"/>
            <w:rFonts w:eastAsia="Calibri" w:cs="Arial"/>
            <w:szCs w:val="22"/>
            <w:lang w:eastAsia="en-US"/>
          </w:rPr>
          <w:t>https://www.gamblingcommission.gov.uk/home.aspx</w:t>
        </w:r>
      </w:hyperlink>
      <w:r w:rsidR="00712915">
        <w:rPr>
          <w:rFonts w:eastAsia="Calibri" w:cs="Arial"/>
          <w:szCs w:val="22"/>
          <w:lang w:eastAsia="en-US"/>
        </w:rPr>
        <w:t>)</w:t>
      </w:r>
      <w:r w:rsidRPr="00F75997">
        <w:rPr>
          <w:rFonts w:eastAsia="Calibri" w:cs="Arial"/>
          <w:szCs w:val="22"/>
          <w:lang w:eastAsia="en-US"/>
        </w:rPr>
        <w:t>; and</w:t>
      </w:r>
    </w:p>
    <w:p w14:paraId="26000263"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that the gaming offered is within the law</w:t>
      </w:r>
      <w:r w:rsidR="00712BDD">
        <w:rPr>
          <w:rFonts w:eastAsia="Calibri" w:cs="Arial"/>
          <w:szCs w:val="22"/>
          <w:lang w:eastAsia="en-US"/>
        </w:rPr>
        <w:t>.</w:t>
      </w:r>
    </w:p>
    <w:p w14:paraId="69685E60" w14:textId="77777777" w:rsidR="002F29E5" w:rsidRPr="00F75997" w:rsidRDefault="002F29E5" w:rsidP="008D6739">
      <w:pPr>
        <w:ind w:left="720"/>
        <w:contextualSpacing/>
        <w:rPr>
          <w:rFonts w:eastAsia="Calibri" w:cs="Arial"/>
          <w:szCs w:val="22"/>
          <w:lang w:eastAsia="en-US"/>
        </w:rPr>
      </w:pPr>
    </w:p>
    <w:p w14:paraId="63F9793A" w14:textId="77777777" w:rsidR="00F75997" w:rsidRPr="00F75997" w:rsidRDefault="00F75997" w:rsidP="008D6739">
      <w:pPr>
        <w:rPr>
          <w:rFonts w:eastAsia="Calibri" w:cs="Arial"/>
          <w:szCs w:val="22"/>
          <w:lang w:eastAsia="en-US"/>
        </w:rPr>
      </w:pPr>
      <w:r w:rsidRPr="00F75997">
        <w:rPr>
          <w:rFonts w:eastAsia="Calibri" w:cs="Arial"/>
          <w:szCs w:val="22"/>
          <w:lang w:eastAsia="en-US"/>
        </w:rPr>
        <w:lastRenderedPageBreak/>
        <w:t>In making its decision on an application for this permit the Licensing Authority need not (but may) have regard to the licensing objectives and shall have regard to any Gambling Commission Guidance.</w:t>
      </w:r>
    </w:p>
    <w:p w14:paraId="74ACA140" w14:textId="77777777" w:rsidR="00712BDD" w:rsidRDefault="00712BDD" w:rsidP="008D6739">
      <w:pPr>
        <w:rPr>
          <w:rFonts w:eastAsia="Calibri" w:cs="Arial"/>
          <w:szCs w:val="22"/>
          <w:lang w:eastAsia="en-US"/>
        </w:rPr>
      </w:pPr>
      <w:r>
        <w:rPr>
          <w:rFonts w:eastAsia="Calibri" w:cs="Arial"/>
          <w:szCs w:val="22"/>
          <w:lang w:eastAsia="en-US"/>
        </w:rPr>
        <w:t>The Gambling Act 2005</w:t>
      </w:r>
      <w:r w:rsidR="00F75997" w:rsidRPr="00F75997">
        <w:rPr>
          <w:rFonts w:eastAsia="Calibri" w:cs="Arial"/>
          <w:szCs w:val="22"/>
          <w:lang w:eastAsia="en-US"/>
        </w:rPr>
        <w:t xml:space="preserve"> attaches mandatory conditions to all prize gaming permits. The Licensing Authority cannot attach conditions. </w:t>
      </w:r>
    </w:p>
    <w:p w14:paraId="1DB305C5" w14:textId="77777777" w:rsidR="00712BDD" w:rsidRDefault="00712BDD" w:rsidP="008D6739">
      <w:pPr>
        <w:rPr>
          <w:rFonts w:eastAsia="Calibri" w:cs="Arial"/>
          <w:szCs w:val="22"/>
          <w:lang w:eastAsia="en-US"/>
        </w:rPr>
      </w:pPr>
    </w:p>
    <w:p w14:paraId="77F1113B" w14:textId="77777777" w:rsidR="00F75997" w:rsidRPr="00F75997" w:rsidRDefault="00F75997" w:rsidP="008D6739">
      <w:pPr>
        <w:rPr>
          <w:rFonts w:eastAsia="Calibri" w:cs="Arial"/>
          <w:szCs w:val="22"/>
          <w:lang w:eastAsia="en-US"/>
        </w:rPr>
      </w:pPr>
      <w:r w:rsidRPr="00F75997">
        <w:rPr>
          <w:rFonts w:eastAsia="Calibri" w:cs="Arial"/>
          <w:szCs w:val="22"/>
          <w:lang w:eastAsia="en-US"/>
        </w:rPr>
        <w:t>The mandatory conditions are as follows:</w:t>
      </w:r>
    </w:p>
    <w:p w14:paraId="762F0D40" w14:textId="77777777" w:rsidR="00F75997" w:rsidRPr="00F75997" w:rsidRDefault="00F75997" w:rsidP="008D6739">
      <w:pPr>
        <w:rPr>
          <w:rFonts w:eastAsia="Calibri" w:cs="Arial"/>
          <w:szCs w:val="22"/>
          <w:lang w:eastAsia="en-US"/>
        </w:rPr>
      </w:pPr>
      <w:r w:rsidRPr="00F75997">
        <w:rPr>
          <w:rFonts w:eastAsia="Calibri" w:cs="Arial"/>
          <w:szCs w:val="22"/>
          <w:lang w:eastAsia="en-US"/>
        </w:rPr>
        <w:t xml:space="preserve">The limits on participation fees, as set out in regulations, must be complied </w:t>
      </w:r>
      <w:proofErr w:type="gramStart"/>
      <w:r w:rsidRPr="00F75997">
        <w:rPr>
          <w:rFonts w:eastAsia="Calibri" w:cs="Arial"/>
          <w:szCs w:val="22"/>
          <w:lang w:eastAsia="en-US"/>
        </w:rPr>
        <w:t>with;</w:t>
      </w:r>
      <w:proofErr w:type="gramEnd"/>
    </w:p>
    <w:p w14:paraId="061C442B"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 xml:space="preserve">that all chances to participate in the gaming must be allocated on the premises on which the gaming is taking place and on one day; the game must be played and completed on the day the chances are allocated; and the result of the game must be made public in the premises on the day that it is </w:t>
      </w:r>
      <w:proofErr w:type="gramStart"/>
      <w:r w:rsidRPr="00F75997">
        <w:rPr>
          <w:rFonts w:eastAsia="Calibri" w:cs="Arial"/>
          <w:szCs w:val="22"/>
          <w:lang w:eastAsia="en-US"/>
        </w:rPr>
        <w:t>played;</w:t>
      </w:r>
      <w:proofErr w:type="gramEnd"/>
    </w:p>
    <w:p w14:paraId="056FD91A" w14:textId="77777777" w:rsidR="00F75997" w:rsidRP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the prize for which the game is played must not exceed the amount set out in regulations (if a money prize) or the prescribed value (if non-monetary prize); and</w:t>
      </w:r>
    </w:p>
    <w:p w14:paraId="2EE865C1" w14:textId="77777777" w:rsidR="00F75997" w:rsidRDefault="00F75997" w:rsidP="008D6739">
      <w:pPr>
        <w:numPr>
          <w:ilvl w:val="0"/>
          <w:numId w:val="15"/>
        </w:numPr>
        <w:contextualSpacing/>
        <w:rPr>
          <w:rFonts w:eastAsia="Calibri" w:cs="Arial"/>
          <w:szCs w:val="22"/>
          <w:lang w:eastAsia="en-US"/>
        </w:rPr>
      </w:pPr>
      <w:r w:rsidRPr="00F75997">
        <w:rPr>
          <w:rFonts w:eastAsia="Calibri" w:cs="Arial"/>
          <w:szCs w:val="22"/>
          <w:lang w:eastAsia="en-US"/>
        </w:rPr>
        <w:t>participation in the gaming must not entitle the player to take part in any other gambling.</w:t>
      </w:r>
    </w:p>
    <w:p w14:paraId="24947681" w14:textId="77777777" w:rsidR="00F75997" w:rsidRPr="00F75997" w:rsidRDefault="00F75997" w:rsidP="008D6739">
      <w:pPr>
        <w:ind w:left="720"/>
        <w:contextualSpacing/>
        <w:rPr>
          <w:rFonts w:eastAsia="Calibri" w:cs="Arial"/>
          <w:szCs w:val="22"/>
          <w:lang w:eastAsia="en-US"/>
        </w:rPr>
      </w:pPr>
    </w:p>
    <w:p w14:paraId="6E930116" w14:textId="77777777" w:rsidR="00F75997" w:rsidRDefault="00F75997" w:rsidP="008D6739">
      <w:pPr>
        <w:rPr>
          <w:rFonts w:eastAsia="Calibri" w:cs="Arial"/>
          <w:b/>
          <w:szCs w:val="22"/>
          <w:lang w:eastAsia="en-US"/>
        </w:rPr>
      </w:pPr>
      <w:r w:rsidRPr="00F75997">
        <w:rPr>
          <w:rFonts w:eastAsia="Calibri" w:cs="Arial"/>
          <w:b/>
          <w:szCs w:val="22"/>
          <w:lang w:eastAsia="en-US"/>
        </w:rPr>
        <w:t>Club Ga</w:t>
      </w:r>
      <w:r w:rsidR="00452A3E">
        <w:rPr>
          <w:rFonts w:eastAsia="Calibri" w:cs="Arial"/>
          <w:b/>
          <w:szCs w:val="22"/>
          <w:lang w:eastAsia="en-US"/>
        </w:rPr>
        <w:t>ming and Club Machines Permits issued under Schedule 12</w:t>
      </w:r>
    </w:p>
    <w:p w14:paraId="189D9B1C" w14:textId="77777777" w:rsidR="00452A3E" w:rsidRPr="00F75997" w:rsidRDefault="00452A3E" w:rsidP="008D6739">
      <w:pPr>
        <w:rPr>
          <w:rFonts w:eastAsia="Calibri" w:cs="Arial"/>
          <w:b/>
          <w:szCs w:val="22"/>
          <w:lang w:eastAsia="en-US"/>
        </w:rPr>
      </w:pPr>
    </w:p>
    <w:p w14:paraId="71544D39" w14:textId="77777777" w:rsidR="008850FD" w:rsidRDefault="00F75997" w:rsidP="008D6739">
      <w:pPr>
        <w:rPr>
          <w:rFonts w:eastAsia="Calibri" w:cs="Arial"/>
          <w:szCs w:val="22"/>
          <w:lang w:eastAsia="en-US"/>
        </w:rPr>
      </w:pPr>
      <w:r w:rsidRPr="00F75997">
        <w:rPr>
          <w:rFonts w:eastAsia="Calibri" w:cs="Arial"/>
          <w:szCs w:val="22"/>
          <w:lang w:eastAsia="en-US"/>
        </w:rPr>
        <w:t>Members’ Clubs and Miners’ Welfare Institutes may</w:t>
      </w:r>
      <w:r w:rsidR="008850FD">
        <w:rPr>
          <w:rFonts w:eastAsia="Calibri" w:cs="Arial"/>
          <w:szCs w:val="22"/>
          <w:lang w:eastAsia="en-US"/>
        </w:rPr>
        <w:t xml:space="preserve"> apply for a Club Gaming Permit. Members’ Clubs, Miners’ Welfare Institutes and Commercial Clubs may apply for a Club</w:t>
      </w:r>
      <w:r w:rsidRPr="00F75997">
        <w:rPr>
          <w:rFonts w:eastAsia="Calibri" w:cs="Arial"/>
          <w:szCs w:val="22"/>
          <w:lang w:eastAsia="en-US"/>
        </w:rPr>
        <w:t xml:space="preserve"> Machine Permit. </w:t>
      </w:r>
    </w:p>
    <w:p w14:paraId="4A236B8F" w14:textId="77777777" w:rsidR="00857132" w:rsidRDefault="00857132" w:rsidP="008D6739">
      <w:pPr>
        <w:rPr>
          <w:rFonts w:eastAsia="Calibri" w:cs="Arial"/>
          <w:szCs w:val="22"/>
          <w:lang w:eastAsia="en-US"/>
        </w:rPr>
      </w:pPr>
    </w:p>
    <w:p w14:paraId="4BE21D7F" w14:textId="77777777" w:rsidR="008850FD" w:rsidRDefault="00F75997" w:rsidP="008D6739">
      <w:pPr>
        <w:rPr>
          <w:rFonts w:eastAsia="Calibri" w:cs="Arial"/>
          <w:szCs w:val="22"/>
          <w:lang w:eastAsia="en-US"/>
        </w:rPr>
      </w:pPr>
      <w:r w:rsidRPr="00F75997">
        <w:rPr>
          <w:rFonts w:eastAsia="Calibri" w:cs="Arial"/>
          <w:szCs w:val="22"/>
          <w:lang w:eastAsia="en-US"/>
        </w:rPr>
        <w:t>The Club Gaming Permit will enable the premises to provide</w:t>
      </w:r>
      <w:r w:rsidR="008850FD">
        <w:rPr>
          <w:rFonts w:eastAsia="Calibri" w:cs="Arial"/>
          <w:szCs w:val="22"/>
          <w:lang w:eastAsia="en-US"/>
        </w:rPr>
        <w:t>:</w:t>
      </w:r>
    </w:p>
    <w:p w14:paraId="3C927517" w14:textId="77777777" w:rsidR="008850FD" w:rsidRDefault="008850FD" w:rsidP="008850FD">
      <w:pPr>
        <w:pStyle w:val="ListParagraph"/>
        <w:numPr>
          <w:ilvl w:val="0"/>
          <w:numId w:val="22"/>
        </w:numPr>
      </w:pPr>
      <w:r>
        <w:t xml:space="preserve">Up to three </w:t>
      </w:r>
      <w:r w:rsidR="00F75997" w:rsidRPr="008850FD">
        <w:t xml:space="preserve">gaming machines </w:t>
      </w:r>
      <w:r>
        <w:t>of categories B</w:t>
      </w:r>
      <w:r w:rsidR="00F75997" w:rsidRPr="008850FD">
        <w:t xml:space="preserve">, </w:t>
      </w:r>
      <w:r>
        <w:t xml:space="preserve">C or </w:t>
      </w:r>
      <w:proofErr w:type="gramStart"/>
      <w:r>
        <w:t>D;</w:t>
      </w:r>
      <w:proofErr w:type="gramEnd"/>
      <w:r w:rsidR="00F75997" w:rsidRPr="008850FD">
        <w:t xml:space="preserve"> </w:t>
      </w:r>
    </w:p>
    <w:p w14:paraId="59A2D908" w14:textId="77777777" w:rsidR="008850FD" w:rsidRDefault="008850FD" w:rsidP="008850FD">
      <w:pPr>
        <w:pStyle w:val="ListParagraph"/>
        <w:numPr>
          <w:ilvl w:val="0"/>
          <w:numId w:val="22"/>
        </w:numPr>
      </w:pPr>
      <w:r>
        <w:t>E</w:t>
      </w:r>
      <w:r w:rsidR="00F75997" w:rsidRPr="008850FD">
        <w:t>qual chance gaming</w:t>
      </w:r>
      <w:r>
        <w:t>;</w:t>
      </w:r>
      <w:r w:rsidR="00F75997" w:rsidRPr="008850FD">
        <w:t xml:space="preserve"> and </w:t>
      </w:r>
    </w:p>
    <w:p w14:paraId="576CF467" w14:textId="77777777" w:rsidR="008850FD" w:rsidRDefault="008850FD" w:rsidP="008850FD">
      <w:pPr>
        <w:pStyle w:val="ListParagraph"/>
        <w:numPr>
          <w:ilvl w:val="0"/>
          <w:numId w:val="22"/>
        </w:numPr>
      </w:pPr>
      <w:r>
        <w:t>G</w:t>
      </w:r>
      <w:r w:rsidR="00F75997" w:rsidRPr="008850FD">
        <w:t xml:space="preserve">ames of chance as set out in regulations. </w:t>
      </w:r>
    </w:p>
    <w:p w14:paraId="09E8EDDC" w14:textId="77777777" w:rsidR="00F75997" w:rsidRDefault="00F75997" w:rsidP="008850FD">
      <w:pPr>
        <w:rPr>
          <w:rFonts w:eastAsia="Calibri"/>
        </w:rPr>
      </w:pPr>
      <w:r w:rsidRPr="008850FD">
        <w:rPr>
          <w:rFonts w:eastAsia="Calibri"/>
        </w:rPr>
        <w:t xml:space="preserve">A Club Machine Permit will enable the premises to provide </w:t>
      </w:r>
      <w:r w:rsidR="008850FD">
        <w:rPr>
          <w:rFonts w:eastAsia="Calibri"/>
        </w:rPr>
        <w:t>up to three machines of categories B, C or D</w:t>
      </w:r>
      <w:r w:rsidRPr="008850FD">
        <w:rPr>
          <w:rFonts w:eastAsia="Calibri"/>
        </w:rPr>
        <w:t>.</w:t>
      </w:r>
    </w:p>
    <w:p w14:paraId="47F9CD9D" w14:textId="77777777" w:rsidR="008850FD" w:rsidRPr="008850FD" w:rsidRDefault="008850FD" w:rsidP="008850FD">
      <w:pPr>
        <w:rPr>
          <w:rFonts w:eastAsia="Calibri"/>
        </w:rPr>
      </w:pPr>
    </w:p>
    <w:p w14:paraId="5551DED2" w14:textId="77777777" w:rsidR="00F75997" w:rsidRDefault="00F75997" w:rsidP="008D6739">
      <w:pPr>
        <w:rPr>
          <w:rFonts w:eastAsia="Calibri" w:cs="Arial"/>
          <w:szCs w:val="22"/>
          <w:lang w:eastAsia="en-US"/>
        </w:rPr>
      </w:pPr>
      <w:r w:rsidRPr="00F75997">
        <w:rPr>
          <w:rFonts w:eastAsia="Calibri" w:cs="Arial"/>
          <w:szCs w:val="22"/>
          <w:lang w:eastAsia="en-US"/>
        </w:rPr>
        <w:t xml:space="preserve">The Guidance for local </w:t>
      </w:r>
      <w:proofErr w:type="gramStart"/>
      <w:r w:rsidRPr="00F75997">
        <w:rPr>
          <w:rFonts w:eastAsia="Calibri" w:cs="Arial"/>
          <w:szCs w:val="22"/>
          <w:lang w:eastAsia="en-US"/>
        </w:rPr>
        <w:t>authorities</w:t>
      </w:r>
      <w:proofErr w:type="gramEnd"/>
      <w:r w:rsidRPr="00F75997">
        <w:rPr>
          <w:rFonts w:eastAsia="Calibri" w:cs="Arial"/>
          <w:szCs w:val="22"/>
          <w:lang w:eastAsia="en-US"/>
        </w:rPr>
        <w:t xml:space="preserve"> states: “Members’ Clubs must have at least 25 members and be established and conducted “wholly or mainly” for purposes other than gaming, unless the gaming is restricted to bridge and whist but there is no need for a club to have an alcohol licence.</w:t>
      </w:r>
    </w:p>
    <w:p w14:paraId="40DDEF83" w14:textId="77777777" w:rsidR="00857132" w:rsidRPr="00F75997" w:rsidRDefault="00857132" w:rsidP="008D6739">
      <w:pPr>
        <w:rPr>
          <w:rFonts w:eastAsia="Calibri" w:cs="Arial"/>
          <w:szCs w:val="22"/>
          <w:lang w:eastAsia="en-US"/>
        </w:rPr>
      </w:pPr>
    </w:p>
    <w:p w14:paraId="1D3A4A89" w14:textId="77777777" w:rsidR="00F75997" w:rsidRPr="00F75997" w:rsidRDefault="00F75997" w:rsidP="008D6739">
      <w:pPr>
        <w:rPr>
          <w:rFonts w:eastAsia="Calibri" w:cs="Arial"/>
          <w:szCs w:val="22"/>
          <w:lang w:eastAsia="en-US"/>
        </w:rPr>
      </w:pPr>
      <w:r w:rsidRPr="00F75997">
        <w:rPr>
          <w:rFonts w:eastAsia="Calibri" w:cs="Arial"/>
          <w:szCs w:val="22"/>
          <w:lang w:eastAsia="en-US"/>
        </w:rPr>
        <w:t>The Licensing Authority is aware that it may refuse an application on one or more of the following grounds:</w:t>
      </w:r>
    </w:p>
    <w:p w14:paraId="604A2A5B" w14:textId="77777777" w:rsidR="00F75997" w:rsidRPr="00857132" w:rsidRDefault="00F75997" w:rsidP="0034376A">
      <w:pPr>
        <w:pStyle w:val="ListParagraph"/>
        <w:numPr>
          <w:ilvl w:val="0"/>
          <w:numId w:val="24"/>
        </w:numPr>
        <w:spacing w:after="0" w:line="240" w:lineRule="auto"/>
      </w:pPr>
      <w:r w:rsidRPr="00857132">
        <w:t xml:space="preserve">the applicant does not fulfil the requirements for a members’ or commercial club or miners’ welfare institute and therefore is not entitled to receive the type of permit for which it has </w:t>
      </w:r>
      <w:proofErr w:type="gramStart"/>
      <w:r w:rsidRPr="00857132">
        <w:t>applied;</w:t>
      </w:r>
      <w:proofErr w:type="gramEnd"/>
    </w:p>
    <w:p w14:paraId="1847D4EE" w14:textId="77777777" w:rsidR="00F75997" w:rsidRPr="00857132" w:rsidRDefault="00F75997" w:rsidP="0034376A">
      <w:pPr>
        <w:pStyle w:val="ListParagraph"/>
        <w:numPr>
          <w:ilvl w:val="0"/>
          <w:numId w:val="24"/>
        </w:numPr>
        <w:spacing w:after="0" w:line="240" w:lineRule="auto"/>
      </w:pPr>
      <w:r w:rsidRPr="00857132">
        <w:t xml:space="preserve">the applicant’s premises are used wholly or mainly by children and/or young persons, or by </w:t>
      </w:r>
      <w:proofErr w:type="gramStart"/>
      <w:r w:rsidRPr="00857132">
        <w:t>both;</w:t>
      </w:r>
      <w:proofErr w:type="gramEnd"/>
    </w:p>
    <w:p w14:paraId="16C06935" w14:textId="77777777" w:rsidR="00F75997" w:rsidRPr="00857132" w:rsidRDefault="00F75997" w:rsidP="0034376A">
      <w:pPr>
        <w:pStyle w:val="ListParagraph"/>
        <w:numPr>
          <w:ilvl w:val="0"/>
          <w:numId w:val="24"/>
        </w:numPr>
        <w:spacing w:after="0" w:line="240" w:lineRule="auto"/>
      </w:pPr>
      <w:r w:rsidRPr="00857132">
        <w:t xml:space="preserve">an offence under the Act or a breach of a condition of a permit has been committed by the applicant while providing gaming </w:t>
      </w:r>
      <w:proofErr w:type="gramStart"/>
      <w:r w:rsidRPr="00857132">
        <w:t>activities;</w:t>
      </w:r>
      <w:proofErr w:type="gramEnd"/>
    </w:p>
    <w:p w14:paraId="6E90D950" w14:textId="77777777" w:rsidR="00F75997" w:rsidRPr="00857132" w:rsidRDefault="00F75997" w:rsidP="0034376A">
      <w:pPr>
        <w:pStyle w:val="ListParagraph"/>
        <w:numPr>
          <w:ilvl w:val="0"/>
          <w:numId w:val="24"/>
        </w:numPr>
        <w:spacing w:after="0" w:line="240" w:lineRule="auto"/>
      </w:pPr>
      <w:r w:rsidRPr="00857132">
        <w:t>a permit held by the applicant has been cancelled in the previous ten years; or</w:t>
      </w:r>
    </w:p>
    <w:p w14:paraId="45EDC1B5" w14:textId="77777777" w:rsidR="00F75997" w:rsidRDefault="00F75997" w:rsidP="0034376A">
      <w:pPr>
        <w:pStyle w:val="ListParagraph"/>
        <w:numPr>
          <w:ilvl w:val="0"/>
          <w:numId w:val="24"/>
        </w:numPr>
        <w:spacing w:after="0" w:line="240" w:lineRule="auto"/>
      </w:pPr>
      <w:r w:rsidRPr="00857132">
        <w:t>an objection has been lodged by the Gambling Commission or the police.</w:t>
      </w:r>
    </w:p>
    <w:p w14:paraId="4D2D091B" w14:textId="77777777" w:rsidR="00857132" w:rsidRPr="00857132" w:rsidRDefault="00857132" w:rsidP="00857132">
      <w:pPr>
        <w:pStyle w:val="ListParagraph"/>
        <w:spacing w:after="0" w:line="240" w:lineRule="auto"/>
        <w:ind w:left="714"/>
      </w:pPr>
    </w:p>
    <w:p w14:paraId="53C32E2B" w14:textId="77777777" w:rsidR="00F75997" w:rsidRPr="00F75997" w:rsidRDefault="00F75997" w:rsidP="008D6739">
      <w:pPr>
        <w:rPr>
          <w:rFonts w:eastAsia="Calibri" w:cs="Arial"/>
          <w:b/>
          <w:szCs w:val="22"/>
          <w:lang w:eastAsia="en-US"/>
        </w:rPr>
      </w:pPr>
      <w:r w:rsidRPr="00F75997">
        <w:rPr>
          <w:rFonts w:eastAsia="Calibri" w:cs="Arial"/>
          <w:b/>
          <w:szCs w:val="22"/>
          <w:lang w:eastAsia="en-US"/>
        </w:rPr>
        <w:t>Fast T</w:t>
      </w:r>
      <w:r w:rsidR="0034376A">
        <w:rPr>
          <w:rFonts w:eastAsia="Calibri" w:cs="Arial"/>
          <w:b/>
          <w:szCs w:val="22"/>
          <w:lang w:eastAsia="en-US"/>
        </w:rPr>
        <w:t>rack Procedure</w:t>
      </w:r>
    </w:p>
    <w:p w14:paraId="01CF0DE7" w14:textId="77777777" w:rsidR="0034376A" w:rsidRDefault="0034376A" w:rsidP="008D6739">
      <w:pPr>
        <w:rPr>
          <w:rFonts w:eastAsia="Calibri" w:cs="Arial"/>
          <w:szCs w:val="22"/>
          <w:lang w:eastAsia="en-US"/>
        </w:rPr>
      </w:pPr>
      <w:r>
        <w:rPr>
          <w:rFonts w:eastAsia="Calibri" w:cs="Arial"/>
          <w:szCs w:val="22"/>
          <w:lang w:eastAsia="en-US"/>
        </w:rPr>
        <w:t>There is</w:t>
      </w:r>
      <w:r w:rsidR="00F75997" w:rsidRPr="00F75997">
        <w:rPr>
          <w:rFonts w:eastAsia="Calibri" w:cs="Arial"/>
          <w:szCs w:val="22"/>
          <w:lang w:eastAsia="en-US"/>
        </w:rPr>
        <w:t xml:space="preserve"> a procedure available under the Act for premises that hold a Club Premises Certificate under the Licensing</w:t>
      </w:r>
      <w:r>
        <w:rPr>
          <w:rFonts w:eastAsia="Calibri" w:cs="Arial"/>
          <w:szCs w:val="22"/>
          <w:lang w:eastAsia="en-US"/>
        </w:rPr>
        <w:t xml:space="preserve"> Act 2003</w:t>
      </w:r>
      <w:r w:rsidR="00F75997" w:rsidRPr="00F75997">
        <w:rPr>
          <w:rFonts w:eastAsia="Calibri" w:cs="Arial"/>
          <w:szCs w:val="22"/>
          <w:lang w:eastAsia="en-US"/>
        </w:rPr>
        <w:t xml:space="preserve">. As the Gambling Commission’s Guidance </w:t>
      </w:r>
      <w:r w:rsidR="00F75997" w:rsidRPr="00F75997">
        <w:rPr>
          <w:rFonts w:eastAsia="Calibri" w:cs="Arial"/>
          <w:szCs w:val="22"/>
          <w:lang w:eastAsia="en-US"/>
        </w:rPr>
        <w:lastRenderedPageBreak/>
        <w:t xml:space="preserve">for local authorities’ states: “Under the fast-track procedure there is no opportunity for objections to be made by the Commission or the police, and the grounds upon which an authority can </w:t>
      </w:r>
      <w:r>
        <w:rPr>
          <w:rFonts w:eastAsia="Calibri" w:cs="Arial"/>
          <w:szCs w:val="22"/>
          <w:lang w:eastAsia="en-US"/>
        </w:rPr>
        <w:t>refuse a permit are reduced”.</w:t>
      </w:r>
    </w:p>
    <w:p w14:paraId="7F550811" w14:textId="77777777" w:rsidR="0034376A" w:rsidRDefault="0034376A" w:rsidP="008D6739">
      <w:pPr>
        <w:rPr>
          <w:rFonts w:eastAsia="Calibri" w:cs="Arial"/>
          <w:szCs w:val="22"/>
          <w:lang w:eastAsia="en-US"/>
        </w:rPr>
      </w:pPr>
    </w:p>
    <w:p w14:paraId="7C237A5F" w14:textId="77777777" w:rsidR="00F75997" w:rsidRPr="00F75997" w:rsidRDefault="00F75997" w:rsidP="008D6739">
      <w:pPr>
        <w:rPr>
          <w:rFonts w:eastAsia="Calibri" w:cs="Arial"/>
          <w:szCs w:val="22"/>
          <w:lang w:eastAsia="en-US"/>
        </w:rPr>
      </w:pPr>
      <w:r w:rsidRPr="00F75997">
        <w:rPr>
          <w:rFonts w:eastAsia="Calibri" w:cs="Arial"/>
          <w:szCs w:val="22"/>
          <w:lang w:eastAsia="en-US"/>
        </w:rPr>
        <w:t>The grounds on which an application under the process may be refused are:</w:t>
      </w:r>
    </w:p>
    <w:p w14:paraId="781A8B90" w14:textId="77777777" w:rsidR="00F75997" w:rsidRPr="0034376A" w:rsidRDefault="00F75997" w:rsidP="0034376A">
      <w:pPr>
        <w:pStyle w:val="ListParagraph"/>
        <w:numPr>
          <w:ilvl w:val="1"/>
          <w:numId w:val="26"/>
        </w:numPr>
        <w:spacing w:after="0" w:line="240" w:lineRule="auto"/>
        <w:ind w:left="709" w:hanging="357"/>
      </w:pPr>
      <w:r w:rsidRPr="0034376A">
        <w:t xml:space="preserve">that the club is established primarily for gaming, other than gaming prescribed under schedule </w:t>
      </w:r>
      <w:proofErr w:type="gramStart"/>
      <w:r w:rsidRPr="0034376A">
        <w:t>12;</w:t>
      </w:r>
      <w:proofErr w:type="gramEnd"/>
    </w:p>
    <w:p w14:paraId="2D6919A9" w14:textId="77777777" w:rsidR="00F75997" w:rsidRPr="0034376A" w:rsidRDefault="00F75997" w:rsidP="0034376A">
      <w:pPr>
        <w:pStyle w:val="ListParagraph"/>
        <w:numPr>
          <w:ilvl w:val="1"/>
          <w:numId w:val="26"/>
        </w:numPr>
        <w:spacing w:after="0" w:line="240" w:lineRule="auto"/>
        <w:ind w:left="709" w:hanging="357"/>
      </w:pPr>
      <w:r w:rsidRPr="0034376A">
        <w:t>that in addition to the prescribed gaming, the applicant provides facilities for other gaming; or</w:t>
      </w:r>
    </w:p>
    <w:p w14:paraId="340A3619" w14:textId="77777777" w:rsidR="00F75997" w:rsidRPr="0034376A" w:rsidRDefault="00F75997" w:rsidP="0034376A">
      <w:pPr>
        <w:pStyle w:val="ListParagraph"/>
        <w:numPr>
          <w:ilvl w:val="1"/>
          <w:numId w:val="26"/>
        </w:numPr>
        <w:spacing w:after="0" w:line="240" w:lineRule="auto"/>
        <w:ind w:left="709" w:hanging="357"/>
      </w:pPr>
      <w:r w:rsidRPr="0034376A">
        <w:t>that a club gaming permit or club machine permit issued to the applicant in the las</w:t>
      </w:r>
      <w:r w:rsidR="0034376A">
        <w:t>t ten years has been cancelled.</w:t>
      </w:r>
    </w:p>
    <w:p w14:paraId="06CA1E6C" w14:textId="77777777" w:rsidR="00FE426D" w:rsidRDefault="00FE426D" w:rsidP="008D6739">
      <w:pPr>
        <w:rPr>
          <w:rFonts w:eastAsia="Calibri" w:cs="Arial"/>
          <w:szCs w:val="22"/>
          <w:lang w:eastAsia="en-US"/>
        </w:rPr>
      </w:pPr>
    </w:p>
    <w:p w14:paraId="12FDD7B3" w14:textId="77777777" w:rsidR="00F75997" w:rsidRPr="00F75997" w:rsidRDefault="00F75997" w:rsidP="008D6739">
      <w:pPr>
        <w:rPr>
          <w:rFonts w:eastAsia="Calibri" w:cs="Arial"/>
          <w:szCs w:val="22"/>
          <w:lang w:eastAsia="en-US"/>
        </w:rPr>
      </w:pPr>
      <w:r w:rsidRPr="00F75997">
        <w:rPr>
          <w:rFonts w:eastAsia="Calibri" w:cs="Arial"/>
          <w:szCs w:val="22"/>
          <w:lang w:eastAsia="en-US"/>
        </w:rPr>
        <w:t>There are statutory conditions on club gaming permits that no child uses a category B3A, B4 or C machine on the premises and that the holder complies with any relevant provision of a code of practice about the location and operation of gaming machines.</w:t>
      </w:r>
    </w:p>
    <w:p w14:paraId="2F48A5ED" w14:textId="77777777" w:rsidR="00AF1C9B" w:rsidRDefault="00AF1C9B" w:rsidP="008D6739">
      <w:pPr>
        <w:pStyle w:val="BodyText3"/>
        <w:rPr>
          <w:rFonts w:cs="Tahoma"/>
          <w:sz w:val="22"/>
        </w:rPr>
      </w:pPr>
    </w:p>
    <w:p w14:paraId="11123BE8" w14:textId="77777777" w:rsidR="00FE426D" w:rsidRDefault="00FE426D">
      <w:pPr>
        <w:rPr>
          <w:rFonts w:cs="Tahoma"/>
          <w:b/>
          <w:bCs/>
          <w:szCs w:val="22"/>
          <w:lang w:eastAsia="en-US"/>
        </w:rPr>
      </w:pPr>
      <w:r>
        <w:br w:type="page"/>
      </w:r>
    </w:p>
    <w:p w14:paraId="0390FFB6" w14:textId="77777777" w:rsidR="00AF1C9B" w:rsidRPr="00A87BFE" w:rsidRDefault="00AF1C9B" w:rsidP="009A497E">
      <w:pPr>
        <w:pStyle w:val="Heading2"/>
      </w:pPr>
      <w:r w:rsidRPr="00A87BFE">
        <w:lastRenderedPageBreak/>
        <w:t>Appendix 2</w:t>
      </w:r>
      <w:r w:rsidR="009B1E82">
        <w:t xml:space="preserve"> – Premises Licences</w:t>
      </w:r>
    </w:p>
    <w:p w14:paraId="6CAEA715" w14:textId="77777777" w:rsidR="00AF1C9B" w:rsidRDefault="00AF1C9B" w:rsidP="008D6739">
      <w:pPr>
        <w:jc w:val="both"/>
        <w:rPr>
          <w:rFonts w:cs="Tahoma"/>
          <w:b/>
          <w:bCs/>
        </w:rPr>
      </w:pPr>
    </w:p>
    <w:p w14:paraId="034CB2CA" w14:textId="77777777" w:rsidR="009B1E82" w:rsidRPr="009A497E" w:rsidRDefault="00FE426D" w:rsidP="009A497E">
      <w:pPr>
        <w:pStyle w:val="Heading3"/>
        <w:rPr>
          <w:rFonts w:eastAsia="Calibri"/>
          <w:b/>
          <w:bCs/>
          <w:u w:val="none"/>
        </w:rPr>
      </w:pPr>
      <w:r w:rsidRPr="009A497E">
        <w:rPr>
          <w:rFonts w:eastAsia="Calibri"/>
          <w:b/>
          <w:bCs/>
          <w:u w:val="none"/>
        </w:rPr>
        <w:t>Decision making</w:t>
      </w:r>
    </w:p>
    <w:p w14:paraId="3073A110" w14:textId="77777777" w:rsidR="009B1E82" w:rsidRDefault="009B1E82" w:rsidP="008D6739">
      <w:pPr>
        <w:rPr>
          <w:rFonts w:eastAsia="Calibri" w:cs="Arial"/>
          <w:szCs w:val="22"/>
          <w:lang w:eastAsia="en-US"/>
        </w:rPr>
      </w:pPr>
      <w:r w:rsidRPr="009B1E82">
        <w:rPr>
          <w:rFonts w:eastAsia="Calibri" w:cs="Arial"/>
          <w:szCs w:val="22"/>
          <w:lang w:eastAsia="en-US"/>
        </w:rPr>
        <w:t xml:space="preserve">Premises Licences will be subject to the requirements set-out in the Gambling Act 2005 and Regulations, as well as specific mandatory and default conditions detailed in regulations issued by the Secretary of State. The Licensing Authority </w:t>
      </w:r>
      <w:proofErr w:type="gramStart"/>
      <w:r w:rsidRPr="009B1E82">
        <w:rPr>
          <w:rFonts w:eastAsia="Calibri" w:cs="Arial"/>
          <w:szCs w:val="22"/>
          <w:lang w:eastAsia="en-US"/>
        </w:rPr>
        <w:t>is able to</w:t>
      </w:r>
      <w:proofErr w:type="gramEnd"/>
      <w:r w:rsidRPr="009B1E82">
        <w:rPr>
          <w:rFonts w:eastAsia="Calibri" w:cs="Arial"/>
          <w:szCs w:val="22"/>
          <w:lang w:eastAsia="en-US"/>
        </w:rPr>
        <w:t xml:space="preserve"> exclude default conditions and also attach others, where it is believed to be appropriate. </w:t>
      </w:r>
    </w:p>
    <w:p w14:paraId="5EF6A6B3" w14:textId="77777777" w:rsidR="00FE426D" w:rsidRPr="009B1E82" w:rsidRDefault="00FE426D" w:rsidP="008D6739">
      <w:pPr>
        <w:rPr>
          <w:rFonts w:eastAsia="Calibri" w:cs="Arial"/>
          <w:szCs w:val="22"/>
          <w:lang w:eastAsia="en-US"/>
        </w:rPr>
      </w:pPr>
    </w:p>
    <w:p w14:paraId="3766013C"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is aware that in making decisions about premises licences it should aim to permit the use of premises for gambling in so far as it thinks it is: </w:t>
      </w:r>
    </w:p>
    <w:p w14:paraId="5F4A3D53"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in accordance with any relevant code of practice issued by the Gambling </w:t>
      </w:r>
      <w:proofErr w:type="gramStart"/>
      <w:r w:rsidRPr="009B1E82">
        <w:rPr>
          <w:rFonts w:eastAsia="Calibri" w:cs="Arial"/>
          <w:szCs w:val="22"/>
          <w:lang w:eastAsia="en-US"/>
        </w:rPr>
        <w:t>Commission;</w:t>
      </w:r>
      <w:proofErr w:type="gramEnd"/>
      <w:r w:rsidRPr="009B1E82">
        <w:rPr>
          <w:rFonts w:eastAsia="Calibri" w:cs="Arial"/>
          <w:szCs w:val="22"/>
          <w:lang w:eastAsia="en-US"/>
        </w:rPr>
        <w:t xml:space="preserve"> </w:t>
      </w:r>
    </w:p>
    <w:p w14:paraId="3E1F93E3"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in accordance with any relevant Guidance issued by the Gambling </w:t>
      </w:r>
      <w:proofErr w:type="gramStart"/>
      <w:r w:rsidRPr="009B1E82">
        <w:rPr>
          <w:rFonts w:eastAsia="Calibri" w:cs="Arial"/>
          <w:szCs w:val="22"/>
          <w:lang w:eastAsia="en-US"/>
        </w:rPr>
        <w:t>Commission;</w:t>
      </w:r>
      <w:proofErr w:type="gramEnd"/>
      <w:r w:rsidRPr="009B1E82">
        <w:rPr>
          <w:rFonts w:eastAsia="Calibri" w:cs="Arial"/>
          <w:szCs w:val="22"/>
          <w:lang w:eastAsia="en-US"/>
        </w:rPr>
        <w:t xml:space="preserve"> </w:t>
      </w:r>
    </w:p>
    <w:p w14:paraId="5C79332B"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reasonably consistent with the Licensing Objectives; and </w:t>
      </w:r>
    </w:p>
    <w:p w14:paraId="30ACF24E"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in accordance with the Authority’s Statement of Licensing Policy. </w:t>
      </w:r>
    </w:p>
    <w:p w14:paraId="75D87393" w14:textId="77777777" w:rsidR="009B1E82" w:rsidRPr="009B1E82" w:rsidRDefault="009B1E82" w:rsidP="008D6739">
      <w:pPr>
        <w:ind w:left="720"/>
        <w:contextualSpacing/>
        <w:rPr>
          <w:rFonts w:eastAsia="Calibri" w:cs="Arial"/>
          <w:szCs w:val="22"/>
          <w:lang w:eastAsia="en-US"/>
        </w:rPr>
      </w:pPr>
    </w:p>
    <w:p w14:paraId="0BD6B50F"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Any conditions attached to licences by the Licensing Authority will be proportionate and will be: </w:t>
      </w:r>
    </w:p>
    <w:p w14:paraId="46ECAE3B"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relevant to the need to make the proposed building suitable as a gambling </w:t>
      </w:r>
      <w:proofErr w:type="gramStart"/>
      <w:r w:rsidRPr="009B1E82">
        <w:rPr>
          <w:rFonts w:eastAsia="Calibri" w:cs="Arial"/>
          <w:szCs w:val="22"/>
          <w:lang w:eastAsia="en-US"/>
        </w:rPr>
        <w:t>facility;</w:t>
      </w:r>
      <w:proofErr w:type="gramEnd"/>
      <w:r w:rsidRPr="009B1E82">
        <w:rPr>
          <w:rFonts w:eastAsia="Calibri" w:cs="Arial"/>
          <w:szCs w:val="22"/>
          <w:lang w:eastAsia="en-US"/>
        </w:rPr>
        <w:t xml:space="preserve"> </w:t>
      </w:r>
    </w:p>
    <w:p w14:paraId="00E4E69A"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directly related to the premises and the type of licence applied </w:t>
      </w:r>
      <w:proofErr w:type="gramStart"/>
      <w:r w:rsidRPr="009B1E82">
        <w:rPr>
          <w:rFonts w:eastAsia="Calibri" w:cs="Arial"/>
          <w:szCs w:val="22"/>
          <w:lang w:eastAsia="en-US"/>
        </w:rPr>
        <w:t>for;</w:t>
      </w:r>
      <w:proofErr w:type="gramEnd"/>
      <w:r w:rsidRPr="009B1E82">
        <w:rPr>
          <w:rFonts w:eastAsia="Calibri" w:cs="Arial"/>
          <w:szCs w:val="22"/>
          <w:lang w:eastAsia="en-US"/>
        </w:rPr>
        <w:t xml:space="preserve"> </w:t>
      </w:r>
    </w:p>
    <w:p w14:paraId="686F5B43"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fairly and reasonably related to the scale and type of premises; and </w:t>
      </w:r>
    </w:p>
    <w:p w14:paraId="130D17D3" w14:textId="77777777" w:rsidR="009B1E82" w:rsidRPr="007E611A"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are reasonable </w:t>
      </w:r>
      <w:r w:rsidRPr="007E611A">
        <w:rPr>
          <w:rFonts w:eastAsia="Calibri" w:cs="Arial"/>
          <w:szCs w:val="22"/>
          <w:lang w:eastAsia="en-US"/>
        </w:rPr>
        <w:t xml:space="preserve">in all other respects. </w:t>
      </w:r>
    </w:p>
    <w:p w14:paraId="7857A99A" w14:textId="77777777" w:rsidR="009B1E82" w:rsidRPr="007E611A" w:rsidRDefault="009B1E82" w:rsidP="008D6739">
      <w:pPr>
        <w:ind w:left="720"/>
        <w:contextualSpacing/>
        <w:rPr>
          <w:rFonts w:eastAsia="Calibri" w:cs="Arial"/>
          <w:szCs w:val="22"/>
          <w:lang w:eastAsia="en-US"/>
        </w:rPr>
      </w:pPr>
    </w:p>
    <w:p w14:paraId="561282BD" w14:textId="77777777" w:rsidR="0089428F" w:rsidRDefault="009B1E82" w:rsidP="008D6739">
      <w:pPr>
        <w:rPr>
          <w:rFonts w:eastAsia="Calibri" w:cs="Arial"/>
          <w:szCs w:val="22"/>
          <w:lang w:eastAsia="en-US"/>
        </w:rPr>
      </w:pPr>
      <w:r w:rsidRPr="00202F8F">
        <w:rPr>
          <w:rFonts w:eastAsia="Calibri" w:cs="Arial"/>
          <w:szCs w:val="22"/>
          <w:lang w:eastAsia="en-US"/>
        </w:rPr>
        <w:t xml:space="preserve">Decisions upon individual conditions </w:t>
      </w:r>
      <w:r w:rsidRPr="00202F8F">
        <w:rPr>
          <w:rFonts w:eastAsia="Calibri" w:cs="Arial"/>
          <w:bCs/>
          <w:iCs/>
          <w:szCs w:val="22"/>
          <w:lang w:eastAsia="en-US"/>
        </w:rPr>
        <w:t xml:space="preserve">will normally </w:t>
      </w:r>
      <w:r w:rsidRPr="00202F8F">
        <w:rPr>
          <w:rFonts w:eastAsia="Calibri" w:cs="Arial"/>
          <w:szCs w:val="22"/>
          <w:lang w:eastAsia="en-US"/>
        </w:rPr>
        <w:t xml:space="preserve">be made on a </w:t>
      </w:r>
      <w:proofErr w:type="gramStart"/>
      <w:r w:rsidRPr="00202F8F">
        <w:rPr>
          <w:rFonts w:eastAsia="Calibri" w:cs="Arial"/>
          <w:szCs w:val="22"/>
          <w:lang w:eastAsia="en-US"/>
        </w:rPr>
        <w:t>case by case</w:t>
      </w:r>
      <w:proofErr w:type="gramEnd"/>
      <w:r w:rsidRPr="00202F8F">
        <w:rPr>
          <w:rFonts w:eastAsia="Calibri" w:cs="Arial"/>
          <w:szCs w:val="22"/>
          <w:lang w:eastAsia="en-US"/>
        </w:rPr>
        <w:t xml:space="preserve"> basis </w:t>
      </w:r>
      <w:r w:rsidRPr="00202F8F">
        <w:rPr>
          <w:rFonts w:eastAsia="Calibri" w:cs="Arial"/>
          <w:bCs/>
          <w:iCs/>
          <w:szCs w:val="22"/>
          <w:lang w:eastAsia="en-US"/>
        </w:rPr>
        <w:t>relying on mandatory and default conditions</w:t>
      </w:r>
      <w:r w:rsidR="00202F8F" w:rsidRPr="00202F8F">
        <w:rPr>
          <w:rFonts w:eastAsia="Calibri" w:cs="Arial"/>
          <w:bCs/>
          <w:iCs/>
          <w:szCs w:val="22"/>
          <w:lang w:eastAsia="en-US"/>
        </w:rPr>
        <w:t>.</w:t>
      </w:r>
      <w:r w:rsidRPr="00202F8F">
        <w:rPr>
          <w:rFonts w:eastAsia="Calibri" w:cs="Arial"/>
          <w:szCs w:val="22"/>
          <w:lang w:eastAsia="en-US"/>
        </w:rPr>
        <w:t xml:space="preserve"> </w:t>
      </w:r>
      <w:r w:rsidR="00202F8F" w:rsidRPr="00202F8F">
        <w:rPr>
          <w:rFonts w:eastAsia="Calibri" w:cs="Arial"/>
          <w:szCs w:val="22"/>
          <w:lang w:eastAsia="en-US"/>
        </w:rPr>
        <w:t>A</w:t>
      </w:r>
      <w:r w:rsidRPr="00202F8F">
        <w:rPr>
          <w:rFonts w:eastAsia="Calibri" w:cs="Arial"/>
          <w:szCs w:val="22"/>
          <w:lang w:eastAsia="en-US"/>
        </w:rPr>
        <w:t>lthough there will be a number of measures</w:t>
      </w:r>
      <w:r w:rsidR="00202F8F" w:rsidRPr="00202F8F">
        <w:rPr>
          <w:rFonts w:eastAsia="Calibri" w:cs="Arial"/>
          <w:szCs w:val="22"/>
          <w:lang w:eastAsia="en-US"/>
        </w:rPr>
        <w:t>,</w:t>
      </w:r>
      <w:r w:rsidRPr="00202F8F">
        <w:rPr>
          <w:rFonts w:eastAsia="Calibri" w:cs="Arial"/>
          <w:szCs w:val="22"/>
          <w:lang w:eastAsia="en-US"/>
        </w:rPr>
        <w:t xml:space="preserve"> the Licensing Authority may consider utilising the examples above where the </w:t>
      </w:r>
      <w:r w:rsidRPr="00202F8F">
        <w:rPr>
          <w:rFonts w:eastAsia="Calibri" w:cs="Arial"/>
          <w:bCs/>
          <w:iCs/>
          <w:szCs w:val="22"/>
          <w:lang w:eastAsia="en-US"/>
        </w:rPr>
        <w:t xml:space="preserve">local circumstances or specific risks make it </w:t>
      </w:r>
      <w:proofErr w:type="gramStart"/>
      <w:r w:rsidRPr="00202F8F">
        <w:rPr>
          <w:rFonts w:eastAsia="Calibri" w:cs="Arial"/>
          <w:bCs/>
          <w:iCs/>
          <w:szCs w:val="22"/>
          <w:lang w:eastAsia="en-US"/>
        </w:rPr>
        <w:t>appropriate</w:t>
      </w:r>
      <w:r w:rsidR="00202F8F" w:rsidRPr="00202F8F">
        <w:rPr>
          <w:rFonts w:eastAsia="Calibri" w:cs="Arial"/>
          <w:szCs w:val="22"/>
          <w:lang w:eastAsia="en-US"/>
        </w:rPr>
        <w:t>;</w:t>
      </w:r>
      <w:proofErr w:type="gramEnd"/>
      <w:r w:rsidRPr="00202F8F">
        <w:rPr>
          <w:rFonts w:eastAsia="Calibri" w:cs="Arial"/>
          <w:szCs w:val="22"/>
          <w:lang w:eastAsia="en-US"/>
        </w:rPr>
        <w:t xml:space="preserve"> such as the use of supervisors, appropriate signage for adult only areas etc. There are specific comments made in this regard under some of the licence types below.</w:t>
      </w:r>
      <w:r w:rsidRPr="007E611A">
        <w:rPr>
          <w:rFonts w:eastAsia="Calibri" w:cs="Arial"/>
          <w:szCs w:val="22"/>
          <w:lang w:eastAsia="en-US"/>
        </w:rPr>
        <w:t xml:space="preserve"> </w:t>
      </w:r>
    </w:p>
    <w:p w14:paraId="1F2E6800" w14:textId="77777777" w:rsidR="0089428F" w:rsidRDefault="0089428F" w:rsidP="008D6739">
      <w:pPr>
        <w:rPr>
          <w:rFonts w:eastAsia="Calibri" w:cs="Arial"/>
          <w:szCs w:val="22"/>
          <w:lang w:eastAsia="en-US"/>
        </w:rPr>
      </w:pPr>
    </w:p>
    <w:p w14:paraId="52588B96" w14:textId="77777777" w:rsidR="009B1E82" w:rsidRPr="009B1E82" w:rsidRDefault="009B1E82" w:rsidP="008D6739">
      <w:pPr>
        <w:rPr>
          <w:rFonts w:eastAsia="Calibri" w:cs="Arial"/>
          <w:szCs w:val="22"/>
          <w:lang w:eastAsia="en-US"/>
        </w:rPr>
      </w:pPr>
      <w:r w:rsidRPr="007E611A">
        <w:rPr>
          <w:rFonts w:eastAsia="Calibri" w:cs="Arial"/>
          <w:szCs w:val="22"/>
          <w:lang w:eastAsia="en-US"/>
        </w:rPr>
        <w:t>The Licensing Author</w:t>
      </w:r>
      <w:r w:rsidR="0089428F">
        <w:rPr>
          <w:rFonts w:eastAsia="Calibri" w:cs="Arial"/>
          <w:szCs w:val="22"/>
          <w:lang w:eastAsia="en-US"/>
        </w:rPr>
        <w:t>ity will also expect the</w:t>
      </w:r>
      <w:r w:rsidRPr="007E611A">
        <w:rPr>
          <w:rFonts w:eastAsia="Calibri" w:cs="Arial"/>
          <w:szCs w:val="22"/>
          <w:lang w:eastAsia="en-US"/>
        </w:rPr>
        <w:t xml:space="preserve"> applicant to offer his/her own suggestions</w:t>
      </w:r>
      <w:r w:rsidRPr="009B1E82">
        <w:rPr>
          <w:rFonts w:eastAsia="Calibri" w:cs="Arial"/>
          <w:szCs w:val="22"/>
          <w:lang w:eastAsia="en-US"/>
        </w:rPr>
        <w:t xml:space="preserve"> as to the way in which the licensing objectives can be met effectively. </w:t>
      </w:r>
    </w:p>
    <w:p w14:paraId="29EFCD30" w14:textId="77777777" w:rsidR="009B1E82" w:rsidRDefault="009B1E82" w:rsidP="008D6739">
      <w:pPr>
        <w:rPr>
          <w:rFonts w:eastAsia="Calibri" w:cs="Arial"/>
          <w:szCs w:val="22"/>
          <w:lang w:eastAsia="en-US"/>
        </w:rPr>
      </w:pPr>
      <w:r w:rsidRPr="009B1E82">
        <w:rPr>
          <w:rFonts w:eastAsia="Calibri" w:cs="Arial"/>
          <w:szCs w:val="22"/>
          <w:lang w:eastAsia="en-US"/>
        </w:rPr>
        <w:t xml:space="preserve">An applicant for a licence will need to specify what supervision is proposed for the area where machines are sited and to clarify how supervisors will be trained to recognise vulnerable adults. </w:t>
      </w:r>
    </w:p>
    <w:p w14:paraId="6F9F8027" w14:textId="77777777" w:rsidR="0089428F" w:rsidRPr="009B1E82" w:rsidRDefault="0089428F" w:rsidP="008D6739">
      <w:pPr>
        <w:rPr>
          <w:rFonts w:eastAsia="Calibri" w:cs="Arial"/>
          <w:szCs w:val="22"/>
          <w:lang w:eastAsia="en-US"/>
        </w:rPr>
      </w:pPr>
    </w:p>
    <w:p w14:paraId="55045094" w14:textId="77777777" w:rsidR="009B1E82" w:rsidRDefault="009B1E82" w:rsidP="008D6739">
      <w:pPr>
        <w:rPr>
          <w:rFonts w:eastAsia="Calibri" w:cs="Arial"/>
          <w:szCs w:val="22"/>
          <w:lang w:eastAsia="en-US"/>
        </w:rPr>
      </w:pPr>
      <w:r w:rsidRPr="009B1E82">
        <w:rPr>
          <w:rFonts w:eastAsia="Calibri" w:cs="Arial"/>
          <w:szCs w:val="22"/>
          <w:lang w:eastAsia="en-US"/>
        </w:rPr>
        <w:t>T</w:t>
      </w:r>
      <w:r w:rsidR="0089428F">
        <w:rPr>
          <w:rFonts w:eastAsia="Calibri" w:cs="Arial"/>
          <w:szCs w:val="22"/>
          <w:lang w:eastAsia="en-US"/>
        </w:rPr>
        <w:t>he Licensing Authority will</w:t>
      </w:r>
      <w:r w:rsidRPr="009B1E82">
        <w:rPr>
          <w:rFonts w:eastAsia="Calibri" w:cs="Arial"/>
          <w:szCs w:val="22"/>
          <w:lang w:eastAsia="en-US"/>
        </w:rPr>
        <w:t xml:space="preserve"> consider specific measures which may be required for buildings which are subject to multiple premises licences. Such measures may include the supervision of entrances; segregation of gambling from non-gambling areas frequented by children; and the supervision of gaming machines in a non-adult gambling specific premises </w:t>
      </w:r>
      <w:proofErr w:type="gramStart"/>
      <w:r w:rsidRPr="009B1E82">
        <w:rPr>
          <w:rFonts w:eastAsia="Calibri" w:cs="Arial"/>
          <w:szCs w:val="22"/>
          <w:lang w:eastAsia="en-US"/>
        </w:rPr>
        <w:t>in order to</w:t>
      </w:r>
      <w:proofErr w:type="gramEnd"/>
      <w:r w:rsidRPr="009B1E82">
        <w:rPr>
          <w:rFonts w:eastAsia="Calibri" w:cs="Arial"/>
          <w:szCs w:val="22"/>
          <w:lang w:eastAsia="en-US"/>
        </w:rPr>
        <w:t xml:space="preserve"> pursue the licensing objectives. These matters are in accordance with the Gambling Commission’s Guidance. </w:t>
      </w:r>
    </w:p>
    <w:p w14:paraId="219413B6" w14:textId="77777777" w:rsidR="0089428F" w:rsidRPr="009B1E82" w:rsidRDefault="0089428F" w:rsidP="008D6739">
      <w:pPr>
        <w:rPr>
          <w:rFonts w:eastAsia="Calibri" w:cs="Arial"/>
          <w:szCs w:val="22"/>
          <w:lang w:eastAsia="en-US"/>
        </w:rPr>
      </w:pPr>
    </w:p>
    <w:p w14:paraId="48C4EDB5" w14:textId="77777777" w:rsidR="009B1E82" w:rsidRPr="009B1E82" w:rsidRDefault="009B1E82" w:rsidP="008D6739">
      <w:pPr>
        <w:rPr>
          <w:rFonts w:eastAsia="Calibri" w:cs="Arial"/>
          <w:szCs w:val="22"/>
          <w:lang w:eastAsia="en-US"/>
        </w:rPr>
      </w:pPr>
      <w:r w:rsidRPr="009B1E82">
        <w:rPr>
          <w:rFonts w:eastAsia="Calibri" w:cs="Arial"/>
          <w:szCs w:val="22"/>
          <w:lang w:eastAsia="en-US"/>
        </w:rPr>
        <w:t>T</w:t>
      </w:r>
      <w:r w:rsidR="0089428F">
        <w:rPr>
          <w:rFonts w:eastAsia="Calibri" w:cs="Arial"/>
          <w:szCs w:val="22"/>
          <w:lang w:eastAsia="en-US"/>
        </w:rPr>
        <w:t>he Licensing Authority will</w:t>
      </w:r>
      <w:r w:rsidRPr="009B1E82">
        <w:rPr>
          <w:rFonts w:eastAsia="Calibri" w:cs="Arial"/>
          <w:szCs w:val="22"/>
          <w:lang w:eastAsia="en-US"/>
        </w:rPr>
        <w:t xml:space="preserve"> ensure that where category C or above machines are on offer in premises to which children are admitted: </w:t>
      </w:r>
    </w:p>
    <w:p w14:paraId="45E00242"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all such machines are located in an area of the premises which is separated from the remainder of the premises by a physical barrier which is effective to prevent access other than through a designated </w:t>
      </w:r>
      <w:proofErr w:type="gramStart"/>
      <w:r w:rsidRPr="009B1E82">
        <w:rPr>
          <w:rFonts w:eastAsia="Calibri" w:cs="Arial"/>
          <w:szCs w:val="22"/>
          <w:lang w:eastAsia="en-US"/>
        </w:rPr>
        <w:t>entrance;</w:t>
      </w:r>
      <w:proofErr w:type="gramEnd"/>
      <w:r w:rsidRPr="009B1E82">
        <w:rPr>
          <w:rFonts w:eastAsia="Calibri" w:cs="Arial"/>
          <w:szCs w:val="22"/>
          <w:lang w:eastAsia="en-US"/>
        </w:rPr>
        <w:t xml:space="preserve"> </w:t>
      </w:r>
    </w:p>
    <w:p w14:paraId="3DC37F16"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only adults are admitted to the area where these machines are </w:t>
      </w:r>
      <w:proofErr w:type="gramStart"/>
      <w:r w:rsidRPr="009B1E82">
        <w:rPr>
          <w:rFonts w:eastAsia="Calibri" w:cs="Arial"/>
          <w:szCs w:val="22"/>
          <w:lang w:eastAsia="en-US"/>
        </w:rPr>
        <w:t>located;</w:t>
      </w:r>
      <w:proofErr w:type="gramEnd"/>
      <w:r w:rsidRPr="009B1E82">
        <w:rPr>
          <w:rFonts w:eastAsia="Calibri" w:cs="Arial"/>
          <w:szCs w:val="22"/>
          <w:lang w:eastAsia="en-US"/>
        </w:rPr>
        <w:t xml:space="preserve"> </w:t>
      </w:r>
    </w:p>
    <w:p w14:paraId="0FEF320E"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access to the area where the machines are located is </w:t>
      </w:r>
      <w:proofErr w:type="gramStart"/>
      <w:r w:rsidRPr="009B1E82">
        <w:rPr>
          <w:rFonts w:eastAsia="Calibri" w:cs="Arial"/>
          <w:szCs w:val="22"/>
          <w:lang w:eastAsia="en-US"/>
        </w:rPr>
        <w:t>supervised;</w:t>
      </w:r>
      <w:proofErr w:type="gramEnd"/>
      <w:r w:rsidRPr="009B1E82">
        <w:rPr>
          <w:rFonts w:eastAsia="Calibri" w:cs="Arial"/>
          <w:szCs w:val="22"/>
          <w:lang w:eastAsia="en-US"/>
        </w:rPr>
        <w:t xml:space="preserve"> </w:t>
      </w:r>
    </w:p>
    <w:p w14:paraId="66600C5D"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lastRenderedPageBreak/>
        <w:t xml:space="preserve">the area where these machines are located is arranged so that it can be observed by the staff or the licence holder; and </w:t>
      </w:r>
    </w:p>
    <w:p w14:paraId="0DC73E5B" w14:textId="23EE0381" w:rsidR="009B1E82" w:rsidRDefault="009B1E82" w:rsidP="00FB2CF6">
      <w:pPr>
        <w:numPr>
          <w:ilvl w:val="0"/>
          <w:numId w:val="16"/>
        </w:numPr>
        <w:contextualSpacing/>
        <w:rPr>
          <w:rFonts w:eastAsia="Calibri" w:cs="Arial"/>
          <w:szCs w:val="22"/>
          <w:lang w:eastAsia="en-US"/>
        </w:rPr>
      </w:pPr>
      <w:r w:rsidRPr="009B1E82">
        <w:rPr>
          <w:rFonts w:eastAsia="Calibri" w:cs="Arial"/>
          <w:szCs w:val="22"/>
          <w:lang w:eastAsia="en-US"/>
        </w:rPr>
        <w:t xml:space="preserve">at the entrance to and inside any such areas there are prominently displayed notices indicating that access to the area is prohibited to persons less than 18 years of age. </w:t>
      </w:r>
    </w:p>
    <w:p w14:paraId="7D092841" w14:textId="77777777" w:rsidR="009A497E" w:rsidRPr="00FB2CF6" w:rsidRDefault="009A497E" w:rsidP="009A497E">
      <w:pPr>
        <w:ind w:left="720"/>
        <w:contextualSpacing/>
        <w:rPr>
          <w:rFonts w:eastAsia="Calibri" w:cs="Arial"/>
          <w:szCs w:val="22"/>
          <w:lang w:eastAsia="en-US"/>
        </w:rPr>
      </w:pPr>
    </w:p>
    <w:p w14:paraId="2FAFD21F" w14:textId="77777777" w:rsidR="009B1E82" w:rsidRDefault="009B1E82" w:rsidP="008D6739">
      <w:pPr>
        <w:rPr>
          <w:rFonts w:eastAsia="Calibri" w:cs="Arial"/>
          <w:szCs w:val="22"/>
          <w:lang w:eastAsia="en-US"/>
        </w:rPr>
      </w:pPr>
      <w:r w:rsidRPr="009B1E82">
        <w:rPr>
          <w:rFonts w:eastAsia="Calibri" w:cs="Arial"/>
          <w:szCs w:val="22"/>
          <w:lang w:eastAsia="en-US"/>
        </w:rPr>
        <w:t xml:space="preserve">These conditions will apply to premises including buildings where multiple premises licences are applicable. </w:t>
      </w:r>
    </w:p>
    <w:p w14:paraId="071CB76C" w14:textId="77777777" w:rsidR="0089428F" w:rsidRPr="009B1E82" w:rsidRDefault="0089428F" w:rsidP="008D6739">
      <w:pPr>
        <w:rPr>
          <w:rFonts w:eastAsia="Calibri" w:cs="Arial"/>
          <w:szCs w:val="22"/>
          <w:lang w:eastAsia="en-US"/>
        </w:rPr>
      </w:pPr>
    </w:p>
    <w:p w14:paraId="73B55AA3"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is aware that tracks may be </w:t>
      </w:r>
      <w:r w:rsidR="00FB2CF6">
        <w:rPr>
          <w:rFonts w:eastAsia="Calibri" w:cs="Arial"/>
          <w:szCs w:val="22"/>
          <w:lang w:eastAsia="en-US"/>
        </w:rPr>
        <w:t xml:space="preserve">subject to one or more </w:t>
      </w:r>
      <w:r w:rsidRPr="009B1E82">
        <w:rPr>
          <w:rFonts w:eastAsia="Calibri" w:cs="Arial"/>
          <w:szCs w:val="22"/>
          <w:lang w:eastAsia="en-US"/>
        </w:rPr>
        <w:t>premises licence</w:t>
      </w:r>
      <w:r w:rsidR="00FB2CF6">
        <w:rPr>
          <w:rFonts w:eastAsia="Calibri" w:cs="Arial"/>
          <w:szCs w:val="22"/>
          <w:lang w:eastAsia="en-US"/>
        </w:rPr>
        <w:t>s</w:t>
      </w:r>
      <w:r w:rsidRPr="009B1E82">
        <w:rPr>
          <w:rFonts w:eastAsia="Calibri" w:cs="Arial"/>
          <w:szCs w:val="22"/>
          <w:lang w:eastAsia="en-US"/>
        </w:rPr>
        <w:t xml:space="preserve"> provided each licence relates to a specified area of the track. As per the Gambling Commission’s Guidance, the Licensing Authority will consider the impact upon the third licensing objective and the need to ensure that entrances to each type of premises are distinct and that children are excluded from gambling areas where they are not permitted to enter. </w:t>
      </w:r>
    </w:p>
    <w:p w14:paraId="0F630618" w14:textId="77777777" w:rsidR="0089428F" w:rsidRPr="009B1E82" w:rsidRDefault="0089428F" w:rsidP="008D6739">
      <w:pPr>
        <w:rPr>
          <w:rFonts w:eastAsia="Calibri" w:cs="Arial"/>
          <w:szCs w:val="22"/>
          <w:lang w:eastAsia="en-US"/>
        </w:rPr>
      </w:pPr>
    </w:p>
    <w:p w14:paraId="64ED8954"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There are also conditions which the Licensing Authority cannot attach to premises licences which are: </w:t>
      </w:r>
    </w:p>
    <w:p w14:paraId="07BA47B7"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any condition on the premises licence which makes it impossible to comply with an operating licence </w:t>
      </w:r>
      <w:proofErr w:type="gramStart"/>
      <w:r w:rsidRPr="009B1E82">
        <w:rPr>
          <w:rFonts w:eastAsia="Calibri" w:cs="Arial"/>
          <w:szCs w:val="22"/>
          <w:lang w:eastAsia="en-US"/>
        </w:rPr>
        <w:t>condition;</w:t>
      </w:r>
      <w:proofErr w:type="gramEnd"/>
      <w:r w:rsidRPr="009B1E82">
        <w:rPr>
          <w:rFonts w:eastAsia="Calibri" w:cs="Arial"/>
          <w:szCs w:val="22"/>
          <w:lang w:eastAsia="en-US"/>
        </w:rPr>
        <w:t xml:space="preserve"> </w:t>
      </w:r>
    </w:p>
    <w:p w14:paraId="105DF60D"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conditions relating to gaming machine categories, numbers, or method of </w:t>
      </w:r>
      <w:proofErr w:type="gramStart"/>
      <w:r w:rsidRPr="009B1E82">
        <w:rPr>
          <w:rFonts w:eastAsia="Calibri" w:cs="Arial"/>
          <w:szCs w:val="22"/>
          <w:lang w:eastAsia="en-US"/>
        </w:rPr>
        <w:t>operation;</w:t>
      </w:r>
      <w:proofErr w:type="gramEnd"/>
      <w:r w:rsidRPr="009B1E82">
        <w:rPr>
          <w:rFonts w:eastAsia="Calibri" w:cs="Arial"/>
          <w:szCs w:val="22"/>
          <w:lang w:eastAsia="en-US"/>
        </w:rPr>
        <w:t xml:space="preserve"> </w:t>
      </w:r>
    </w:p>
    <w:p w14:paraId="7FB4F788"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conditions which provide that membership of a club or body be required (the Gambling Act 2005 specifically removes the membership requirement for casino and bingo clubs and this provision prevents it being reinstated)</w:t>
      </w:r>
      <w:r w:rsidR="00FB2CF6">
        <w:rPr>
          <w:rFonts w:eastAsia="Calibri" w:cs="Arial"/>
          <w:szCs w:val="22"/>
          <w:lang w:eastAsia="en-US"/>
        </w:rPr>
        <w:t>;</w:t>
      </w:r>
      <w:r w:rsidRPr="009B1E82">
        <w:rPr>
          <w:rFonts w:eastAsia="Calibri" w:cs="Arial"/>
          <w:szCs w:val="22"/>
          <w:lang w:eastAsia="en-US"/>
        </w:rPr>
        <w:t xml:space="preserve"> and </w:t>
      </w:r>
    </w:p>
    <w:p w14:paraId="5C89200E"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conditions in relation to stakes, fees, winning or prizes. </w:t>
      </w:r>
    </w:p>
    <w:p w14:paraId="139F9879" w14:textId="77777777" w:rsidR="009B1E82" w:rsidRPr="009B1E82" w:rsidRDefault="009B1E82" w:rsidP="008D6739">
      <w:pPr>
        <w:ind w:left="720"/>
        <w:contextualSpacing/>
        <w:rPr>
          <w:rFonts w:eastAsia="Calibri" w:cs="Arial"/>
          <w:szCs w:val="22"/>
          <w:lang w:eastAsia="en-US"/>
        </w:rPr>
      </w:pPr>
    </w:p>
    <w:p w14:paraId="6CA91632" w14:textId="77777777" w:rsidR="009B1E82" w:rsidRPr="009A497E" w:rsidRDefault="009B1E82" w:rsidP="009A497E">
      <w:pPr>
        <w:pStyle w:val="Heading3"/>
        <w:rPr>
          <w:rFonts w:eastAsia="Calibri"/>
          <w:b/>
          <w:bCs/>
          <w:u w:val="none"/>
        </w:rPr>
      </w:pPr>
      <w:r w:rsidRPr="009A497E">
        <w:rPr>
          <w:rFonts w:eastAsia="Calibri"/>
          <w:b/>
          <w:bCs/>
          <w:u w:val="none"/>
        </w:rPr>
        <w:t>“Premises</w:t>
      </w:r>
      <w:r w:rsidR="00DE2BDA" w:rsidRPr="009A497E">
        <w:rPr>
          <w:rFonts w:eastAsia="Calibri"/>
          <w:b/>
          <w:bCs/>
          <w:u w:val="none"/>
        </w:rPr>
        <w:t>”</w:t>
      </w:r>
    </w:p>
    <w:p w14:paraId="2DC57DDE" w14:textId="77777777" w:rsidR="009B1E82" w:rsidRDefault="009B1E82" w:rsidP="008D6739">
      <w:pPr>
        <w:rPr>
          <w:rFonts w:eastAsia="Calibri" w:cs="Arial"/>
          <w:szCs w:val="22"/>
          <w:lang w:eastAsia="en-US"/>
        </w:rPr>
      </w:pPr>
      <w:r w:rsidRPr="009B1E82">
        <w:rPr>
          <w:rFonts w:eastAsia="Calibri" w:cs="Arial"/>
          <w:szCs w:val="22"/>
          <w:lang w:eastAsia="en-US"/>
        </w:rPr>
        <w:t xml:space="preserve">Premises are defined in the Act as “any place”. It is for the Licensing Authority to decide whether different parts of a building can be properly regarded as being separate premises and as the Guidance for local authorities’ </w:t>
      </w:r>
      <w:r w:rsidR="00DE2BDA">
        <w:rPr>
          <w:rFonts w:eastAsia="Calibri" w:cs="Arial"/>
          <w:szCs w:val="22"/>
          <w:lang w:eastAsia="en-US"/>
        </w:rPr>
        <w:t>states, it “will depend on the circumstances”</w:t>
      </w:r>
      <w:r w:rsidRPr="009B1E82">
        <w:rPr>
          <w:rFonts w:eastAsia="Calibri" w:cs="Arial"/>
          <w:szCs w:val="22"/>
          <w:lang w:eastAsia="en-US"/>
        </w:rPr>
        <w:t xml:space="preserve">. The Gambling Commission does not however consider that areas of a building that are artificially or temporarily separate can be properly regarded as different premises. </w:t>
      </w:r>
    </w:p>
    <w:p w14:paraId="0C7A7150" w14:textId="77777777" w:rsidR="00DE2BDA" w:rsidRPr="009B1E82" w:rsidRDefault="00DE2BDA" w:rsidP="008D6739">
      <w:pPr>
        <w:rPr>
          <w:rFonts w:eastAsia="Calibri" w:cs="Arial"/>
          <w:szCs w:val="22"/>
          <w:lang w:eastAsia="en-US"/>
        </w:rPr>
      </w:pPr>
    </w:p>
    <w:p w14:paraId="5059BE5D"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will have regard to the Commission’s Guidance on the division of premises and access between premises. </w:t>
      </w:r>
    </w:p>
    <w:p w14:paraId="1DE8C762" w14:textId="77777777" w:rsidR="00DE2BDA" w:rsidRPr="009B1E82" w:rsidRDefault="00DE2BDA" w:rsidP="008D6739">
      <w:pPr>
        <w:rPr>
          <w:rFonts w:eastAsia="Calibri" w:cs="Arial"/>
          <w:szCs w:val="22"/>
          <w:lang w:eastAsia="en-US"/>
        </w:rPr>
      </w:pPr>
    </w:p>
    <w:p w14:paraId="0635CD07"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takes </w:t>
      </w:r>
      <w:proofErr w:type="gramStart"/>
      <w:r w:rsidRPr="009B1E82">
        <w:rPr>
          <w:rFonts w:eastAsia="Calibri" w:cs="Arial"/>
          <w:szCs w:val="22"/>
          <w:lang w:eastAsia="en-US"/>
        </w:rPr>
        <w:t>particular note</w:t>
      </w:r>
      <w:proofErr w:type="gramEnd"/>
      <w:r w:rsidRPr="009B1E82">
        <w:rPr>
          <w:rFonts w:eastAsia="Calibri" w:cs="Arial"/>
          <w:szCs w:val="22"/>
          <w:lang w:eastAsia="en-US"/>
        </w:rPr>
        <w:t xml:space="preserve"> of the Guidance for Local Authorities which states that in considering applications for multiple licences for a building or those for a specific part of the building to be licensed, licensing authorities should be aware that: </w:t>
      </w:r>
    </w:p>
    <w:p w14:paraId="59073186"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the third licensing objective seeks to protect children from being harmed </w:t>
      </w:r>
      <w:r w:rsidR="00951C71">
        <w:rPr>
          <w:rFonts w:eastAsia="Calibri" w:cs="Arial"/>
          <w:szCs w:val="22"/>
          <w:lang w:eastAsia="en-US"/>
        </w:rPr>
        <w:t xml:space="preserve">or exploited by gambling and premises should be configured so that children are prohibited from participating in gambling, such that they are not invited to participate in, have accidental access to, or closely observe </w:t>
      </w:r>
      <w:proofErr w:type="gramStart"/>
      <w:r w:rsidR="00951C71">
        <w:rPr>
          <w:rFonts w:eastAsia="Calibri" w:cs="Arial"/>
          <w:szCs w:val="22"/>
          <w:lang w:eastAsia="en-US"/>
        </w:rPr>
        <w:t>gambling;</w:t>
      </w:r>
      <w:proofErr w:type="gramEnd"/>
    </w:p>
    <w:p w14:paraId="0403D36D" w14:textId="77777777" w:rsidR="009B1E82" w:rsidRDefault="00951C71" w:rsidP="008D6739">
      <w:pPr>
        <w:numPr>
          <w:ilvl w:val="0"/>
          <w:numId w:val="16"/>
        </w:numPr>
        <w:contextualSpacing/>
        <w:rPr>
          <w:rFonts w:eastAsia="Calibri" w:cs="Arial"/>
          <w:szCs w:val="22"/>
          <w:lang w:eastAsia="en-US"/>
        </w:rPr>
      </w:pPr>
      <w:r>
        <w:rPr>
          <w:rFonts w:eastAsia="Calibri" w:cs="Arial"/>
          <w:szCs w:val="22"/>
          <w:lang w:eastAsia="en-US"/>
        </w:rPr>
        <w:t xml:space="preserve">entrances to and exits from parts of a building covered by one or more premises licences should be separate and identifiable so that the separation of different premises is not </w:t>
      </w:r>
      <w:proofErr w:type="gramStart"/>
      <w:r>
        <w:rPr>
          <w:rFonts w:eastAsia="Calibri" w:cs="Arial"/>
          <w:szCs w:val="22"/>
          <w:lang w:eastAsia="en-US"/>
        </w:rPr>
        <w:t>compromised</w:t>
      </w:r>
      <w:proofErr w:type="gramEnd"/>
      <w:r>
        <w:rPr>
          <w:rFonts w:eastAsia="Calibri" w:cs="Arial"/>
          <w:szCs w:val="22"/>
          <w:lang w:eastAsia="en-US"/>
        </w:rPr>
        <w:t xml:space="preserve"> and people do not ‘drift’ into a gambling area. In this context it should normally be possible to access the premises without going through another licensed premises or premises wit</w:t>
      </w:r>
      <w:r w:rsidR="00370374">
        <w:rPr>
          <w:rFonts w:eastAsia="Calibri" w:cs="Arial"/>
          <w:szCs w:val="22"/>
          <w:lang w:eastAsia="en-US"/>
        </w:rPr>
        <w:t xml:space="preserve">h a </w:t>
      </w:r>
      <w:proofErr w:type="gramStart"/>
      <w:r w:rsidR="00370374">
        <w:rPr>
          <w:rFonts w:eastAsia="Calibri" w:cs="Arial"/>
          <w:szCs w:val="22"/>
          <w:lang w:eastAsia="en-US"/>
        </w:rPr>
        <w:t>permit;</w:t>
      </w:r>
      <w:proofErr w:type="gramEnd"/>
    </w:p>
    <w:p w14:paraId="21D2A5BC" w14:textId="77777777" w:rsidR="00951C71" w:rsidRDefault="00951C71" w:rsidP="008D6739">
      <w:pPr>
        <w:numPr>
          <w:ilvl w:val="0"/>
          <w:numId w:val="16"/>
        </w:numPr>
        <w:contextualSpacing/>
        <w:rPr>
          <w:rFonts w:eastAsia="Calibri" w:cs="Arial"/>
          <w:szCs w:val="22"/>
          <w:lang w:eastAsia="en-US"/>
        </w:rPr>
      </w:pPr>
      <w:r>
        <w:rPr>
          <w:rFonts w:eastAsia="Calibri" w:cs="Arial"/>
          <w:szCs w:val="22"/>
          <w:lang w:eastAsia="en-US"/>
        </w:rPr>
        <w:lastRenderedPageBreak/>
        <w:t>Customers should be able to participate in the activity named on the premises licence.</w:t>
      </w:r>
    </w:p>
    <w:p w14:paraId="292CEC6C" w14:textId="77777777" w:rsidR="009B1E82" w:rsidRPr="009B1E82" w:rsidRDefault="009B1E82" w:rsidP="008D6739">
      <w:pPr>
        <w:ind w:left="720"/>
        <w:contextualSpacing/>
        <w:rPr>
          <w:rFonts w:eastAsia="Calibri" w:cs="Arial"/>
          <w:szCs w:val="22"/>
          <w:lang w:eastAsia="en-US"/>
        </w:rPr>
      </w:pPr>
    </w:p>
    <w:p w14:paraId="3B76BDE2"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will pay particular attention to applications where access to the licensed premises is through other premises (which themselves may be licensed or unlicensed). Clearly, there will be specific issues that authorities should consider before granting such applications, for example, whether children can gain access; compatibility of the two establishments; and ability to comply with the requirements of the Act. But, in addition an overriding consideration should be whether, taken as a whole, the co-location of the licensed premises with other facilities has the effect of creating an arrangement that otherwise would, or should, be prohibited under the Act. </w:t>
      </w:r>
    </w:p>
    <w:p w14:paraId="555F47FD" w14:textId="77777777" w:rsidR="00370374" w:rsidRPr="009B1E82" w:rsidRDefault="00370374" w:rsidP="008D6739">
      <w:pPr>
        <w:rPr>
          <w:rFonts w:eastAsia="Calibri" w:cs="Arial"/>
          <w:szCs w:val="22"/>
          <w:lang w:eastAsia="en-US"/>
        </w:rPr>
      </w:pPr>
    </w:p>
    <w:p w14:paraId="43599A4A" w14:textId="77777777" w:rsidR="009B1E82" w:rsidRDefault="009B1E82" w:rsidP="008D6739">
      <w:pPr>
        <w:rPr>
          <w:rFonts w:eastAsia="Calibri" w:cs="Arial"/>
          <w:szCs w:val="22"/>
          <w:lang w:eastAsia="en-US"/>
        </w:rPr>
      </w:pPr>
      <w:r w:rsidRPr="009B1E82">
        <w:rPr>
          <w:rFonts w:eastAsia="Calibri" w:cs="Arial"/>
          <w:szCs w:val="22"/>
          <w:lang w:eastAsia="en-US"/>
        </w:rPr>
        <w:t xml:space="preserve">It should also be noted that an applicant cannot obtain a full premises licence until the premises in which it is proposed to offer the gambling are constructed. The Gambling Commission has advised that references to “the premises” are to the premises in which gambling may now take place. </w:t>
      </w:r>
      <w:proofErr w:type="gramStart"/>
      <w:r w:rsidRPr="009B1E82">
        <w:rPr>
          <w:rFonts w:eastAsia="Calibri" w:cs="Arial"/>
          <w:szCs w:val="22"/>
          <w:lang w:eastAsia="en-US"/>
        </w:rPr>
        <w:t>Thus</w:t>
      </w:r>
      <w:proofErr w:type="gramEnd"/>
      <w:r w:rsidRPr="009B1E82">
        <w:rPr>
          <w:rFonts w:eastAsia="Calibri" w:cs="Arial"/>
          <w:szCs w:val="22"/>
          <w:lang w:eastAsia="en-US"/>
        </w:rPr>
        <w:t xml:space="preserve"> a licence to use premises for gambling will only be issued in relation to premises that are ready to be used for gambling. The Licensing Authority agrees with the Gambling Commission that it is a question of fact and degree whether premises are finished to a degree that they can be considered for a premises licence. The Gambling Commission emphasises that requiring the building to be complete ensures that the authority can, if necessary, inspect it fully, as can other responsible authorities with inspection rights. </w:t>
      </w:r>
    </w:p>
    <w:p w14:paraId="5F80D981" w14:textId="77777777" w:rsidR="00370374" w:rsidRPr="009B1E82" w:rsidRDefault="00370374" w:rsidP="008D6739">
      <w:pPr>
        <w:rPr>
          <w:rFonts w:eastAsia="Calibri" w:cs="Arial"/>
          <w:szCs w:val="22"/>
          <w:lang w:eastAsia="en-US"/>
        </w:rPr>
      </w:pPr>
    </w:p>
    <w:p w14:paraId="6D2514C9" w14:textId="77777777" w:rsidR="009B1E82" w:rsidRPr="009A497E" w:rsidRDefault="009B1E82" w:rsidP="009A497E">
      <w:pPr>
        <w:pStyle w:val="Heading3"/>
        <w:rPr>
          <w:rFonts w:eastAsia="Calibri"/>
          <w:b/>
          <w:bCs/>
          <w:u w:val="none"/>
        </w:rPr>
      </w:pPr>
      <w:r w:rsidRPr="009A497E">
        <w:rPr>
          <w:rFonts w:eastAsia="Calibri"/>
          <w:b/>
          <w:bCs/>
          <w:u w:val="none"/>
        </w:rPr>
        <w:t>Location</w:t>
      </w:r>
    </w:p>
    <w:p w14:paraId="429B4494"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is aware that demand issues cannot be considered </w:t>
      </w:r>
      <w:proofErr w:type="gramStart"/>
      <w:r w:rsidRPr="009B1E82">
        <w:rPr>
          <w:rFonts w:eastAsia="Calibri" w:cs="Arial"/>
          <w:szCs w:val="22"/>
          <w:lang w:eastAsia="en-US"/>
        </w:rPr>
        <w:t>with regard to</w:t>
      </w:r>
      <w:proofErr w:type="gramEnd"/>
      <w:r w:rsidRPr="009B1E82">
        <w:rPr>
          <w:rFonts w:eastAsia="Calibri" w:cs="Arial"/>
          <w:szCs w:val="22"/>
          <w:lang w:eastAsia="en-US"/>
        </w:rPr>
        <w:t xml:space="preserve"> the location of premises but that considerations in terms of the licensing objectives can. As per the Gambling </w:t>
      </w:r>
      <w:r w:rsidRPr="007E611A">
        <w:rPr>
          <w:rFonts w:eastAsia="Calibri" w:cs="Arial"/>
          <w:szCs w:val="22"/>
          <w:lang w:eastAsia="en-US"/>
        </w:rPr>
        <w:t xml:space="preserve">Commission’s Guidance for local authorities, the Licensing Authority will pay particular attention to the protection of children and vulnerable persons from being harmed or exploited by gambling, as well as issues of crime and disorder. Should any specific policy be </w:t>
      </w:r>
      <w:r w:rsidRPr="007E611A">
        <w:rPr>
          <w:rFonts w:eastAsia="Calibri" w:cs="Arial"/>
          <w:bCs/>
          <w:iCs/>
          <w:szCs w:val="22"/>
          <w:lang w:eastAsia="en-US"/>
        </w:rPr>
        <w:t xml:space="preserve">considered there would be a consultation </w:t>
      </w:r>
      <w:r w:rsidRPr="007E611A">
        <w:rPr>
          <w:rFonts w:eastAsia="Calibri" w:cs="Arial"/>
          <w:szCs w:val="22"/>
          <w:lang w:eastAsia="en-US"/>
        </w:rPr>
        <w:t xml:space="preserve">and any such policy </w:t>
      </w:r>
      <w:r w:rsidRPr="007E611A">
        <w:rPr>
          <w:rFonts w:eastAsia="Calibri" w:cs="Arial"/>
          <w:bCs/>
          <w:iCs/>
          <w:szCs w:val="22"/>
          <w:lang w:eastAsia="en-US"/>
        </w:rPr>
        <w:t xml:space="preserve">would </w:t>
      </w:r>
      <w:r w:rsidRPr="007E611A">
        <w:rPr>
          <w:rFonts w:eastAsia="Calibri" w:cs="Arial"/>
          <w:szCs w:val="22"/>
          <w:lang w:eastAsia="en-US"/>
        </w:rPr>
        <w:t>not preclude any application being made and each application will be decided on its merits, with the</w:t>
      </w:r>
      <w:r w:rsidRPr="009B1E82">
        <w:rPr>
          <w:rFonts w:eastAsia="Calibri" w:cs="Arial"/>
          <w:szCs w:val="22"/>
          <w:lang w:eastAsia="en-US"/>
        </w:rPr>
        <w:t xml:space="preserve"> onus upon the applicant showing how potential concerns can be overcome. </w:t>
      </w:r>
    </w:p>
    <w:p w14:paraId="59A2A86C" w14:textId="77777777" w:rsidR="004B017C" w:rsidRPr="009B1E82" w:rsidRDefault="004B017C" w:rsidP="008D6739">
      <w:pPr>
        <w:rPr>
          <w:rFonts w:eastAsia="Calibri" w:cs="Arial"/>
          <w:szCs w:val="22"/>
          <w:lang w:eastAsia="en-US"/>
        </w:rPr>
      </w:pPr>
    </w:p>
    <w:p w14:paraId="50241C16" w14:textId="77777777" w:rsidR="009B1E82" w:rsidRPr="009A497E" w:rsidRDefault="009B1E82" w:rsidP="009A497E">
      <w:pPr>
        <w:pStyle w:val="Heading3"/>
        <w:rPr>
          <w:rFonts w:eastAsia="Calibri"/>
          <w:b/>
          <w:bCs/>
          <w:u w:val="none"/>
        </w:rPr>
      </w:pPr>
      <w:r w:rsidRPr="009A497E">
        <w:rPr>
          <w:rFonts w:eastAsia="Calibri"/>
          <w:b/>
          <w:bCs/>
          <w:u w:val="none"/>
        </w:rPr>
        <w:t>Planning</w:t>
      </w:r>
    </w:p>
    <w:p w14:paraId="14566491" w14:textId="77777777" w:rsidR="00523C3B" w:rsidRDefault="009B1E82" w:rsidP="008D6739">
      <w:pPr>
        <w:rPr>
          <w:rFonts w:eastAsia="Calibri" w:cs="Arial"/>
          <w:szCs w:val="22"/>
          <w:lang w:eastAsia="en-US"/>
        </w:rPr>
      </w:pPr>
      <w:r w:rsidRPr="009B1E82">
        <w:rPr>
          <w:rFonts w:eastAsia="Calibri" w:cs="Arial"/>
          <w:szCs w:val="22"/>
          <w:lang w:eastAsia="en-US"/>
        </w:rPr>
        <w:t>Planning and licensing are different regulatory systems and will be dealt with separately. The Gambling Commission’s Guidance states:</w:t>
      </w:r>
    </w:p>
    <w:p w14:paraId="515CC9B8" w14:textId="77777777" w:rsidR="00523C3B" w:rsidRDefault="00523C3B" w:rsidP="008D6739">
      <w:pPr>
        <w:rPr>
          <w:rFonts w:eastAsia="Calibri" w:cs="Arial"/>
          <w:szCs w:val="22"/>
          <w:lang w:eastAsia="en-US"/>
        </w:rPr>
      </w:pPr>
    </w:p>
    <w:p w14:paraId="6FB376C6" w14:textId="77777777" w:rsidR="009B1E82" w:rsidRDefault="009B1E82" w:rsidP="008D6739">
      <w:pPr>
        <w:rPr>
          <w:rFonts w:eastAsia="Calibri" w:cs="Arial"/>
          <w:szCs w:val="22"/>
          <w:lang w:eastAsia="en-US"/>
        </w:rPr>
      </w:pPr>
      <w:r w:rsidRPr="009B1E82">
        <w:rPr>
          <w:rFonts w:eastAsia="Calibri" w:cs="Arial"/>
          <w:szCs w:val="22"/>
          <w:lang w:eastAsia="en-US"/>
        </w:rPr>
        <w:t xml:space="preserve">“When dealing with a premises licence application for finished buildings, the Licensing Authority should not </w:t>
      </w:r>
      <w:proofErr w:type="gramStart"/>
      <w:r w:rsidRPr="009B1E82">
        <w:rPr>
          <w:rFonts w:eastAsia="Calibri" w:cs="Arial"/>
          <w:szCs w:val="22"/>
          <w:lang w:eastAsia="en-US"/>
        </w:rPr>
        <w:t>take into account</w:t>
      </w:r>
      <w:proofErr w:type="gramEnd"/>
      <w:r w:rsidRPr="009B1E82">
        <w:rPr>
          <w:rFonts w:eastAsia="Calibri" w:cs="Arial"/>
          <w:szCs w:val="22"/>
          <w:lang w:eastAsia="en-US"/>
        </w:rPr>
        <w:t xml:space="preserve"> whether those buildings have or comply with the necessary planning or building consents. Those matters should be dealt with under relevant planning control, building and other regulations and </w:t>
      </w:r>
      <w:r w:rsidR="00523C3B">
        <w:rPr>
          <w:rFonts w:eastAsia="Calibri" w:cs="Arial"/>
          <w:szCs w:val="22"/>
          <w:lang w:eastAsia="en-US"/>
        </w:rPr>
        <w:t xml:space="preserve">must </w:t>
      </w:r>
      <w:r w:rsidRPr="009B1E82">
        <w:rPr>
          <w:rFonts w:eastAsia="Calibri" w:cs="Arial"/>
          <w:szCs w:val="22"/>
          <w:lang w:eastAsia="en-US"/>
        </w:rPr>
        <w:t xml:space="preserve">not form part of the consideration for the premises </w:t>
      </w:r>
      <w:r w:rsidR="00523C3B">
        <w:rPr>
          <w:rFonts w:eastAsia="Calibri" w:cs="Arial"/>
          <w:szCs w:val="22"/>
          <w:lang w:eastAsia="en-US"/>
        </w:rPr>
        <w:t>licence. Section 210 of the Gambling</w:t>
      </w:r>
      <w:r w:rsidRPr="009B1E82">
        <w:rPr>
          <w:rFonts w:eastAsia="Calibri" w:cs="Arial"/>
          <w:szCs w:val="22"/>
          <w:lang w:eastAsia="en-US"/>
        </w:rPr>
        <w:t xml:space="preserve"> Act </w:t>
      </w:r>
      <w:r w:rsidR="00523C3B">
        <w:rPr>
          <w:rFonts w:eastAsia="Calibri" w:cs="Arial"/>
          <w:szCs w:val="22"/>
          <w:lang w:eastAsia="en-US"/>
        </w:rPr>
        <w:t xml:space="preserve">2005 </w:t>
      </w:r>
      <w:r w:rsidRPr="009B1E82">
        <w:rPr>
          <w:rFonts w:eastAsia="Calibri" w:cs="Arial"/>
          <w:szCs w:val="22"/>
          <w:lang w:eastAsia="en-US"/>
        </w:rPr>
        <w:t xml:space="preserve">prevents licensing authorities </w:t>
      </w:r>
      <w:proofErr w:type="gramStart"/>
      <w:r w:rsidRPr="009B1E82">
        <w:rPr>
          <w:rFonts w:eastAsia="Calibri" w:cs="Arial"/>
          <w:szCs w:val="22"/>
          <w:lang w:eastAsia="en-US"/>
        </w:rPr>
        <w:t>taking into account</w:t>
      </w:r>
      <w:proofErr w:type="gramEnd"/>
      <w:r w:rsidRPr="009B1E82">
        <w:rPr>
          <w:rFonts w:eastAsia="Calibri" w:cs="Arial"/>
          <w:szCs w:val="22"/>
          <w:lang w:eastAsia="en-US"/>
        </w:rPr>
        <w:t xml:space="preserve"> the likelihood of the proposal by the applicant obtaining planning or building consent when considering a premises licence application. Equally the grant of a gambling premises licence does not prejudice or prevent any action that may be appropriate under the law relating to planning or building.” </w:t>
      </w:r>
    </w:p>
    <w:p w14:paraId="52E08F73" w14:textId="77777777" w:rsidR="00523C3B" w:rsidRPr="009B1E82" w:rsidRDefault="00523C3B" w:rsidP="008D6739">
      <w:pPr>
        <w:rPr>
          <w:rFonts w:eastAsia="Calibri" w:cs="Arial"/>
          <w:szCs w:val="22"/>
          <w:lang w:eastAsia="en-US"/>
        </w:rPr>
      </w:pPr>
    </w:p>
    <w:p w14:paraId="0BEC22FF" w14:textId="77777777" w:rsidR="009B1E82" w:rsidRPr="009A497E" w:rsidRDefault="009B1E82" w:rsidP="009A497E">
      <w:pPr>
        <w:pStyle w:val="Heading3"/>
        <w:rPr>
          <w:rFonts w:eastAsia="Calibri"/>
          <w:b/>
          <w:bCs/>
          <w:u w:val="none"/>
        </w:rPr>
      </w:pPr>
      <w:r w:rsidRPr="009A497E">
        <w:rPr>
          <w:rFonts w:eastAsia="Calibri"/>
          <w:b/>
          <w:bCs/>
          <w:u w:val="none"/>
        </w:rPr>
        <w:lastRenderedPageBreak/>
        <w:t xml:space="preserve">Duplication </w:t>
      </w:r>
    </w:p>
    <w:p w14:paraId="7D07398B" w14:textId="77777777" w:rsidR="009B1E82" w:rsidRDefault="002E4F15" w:rsidP="008D6739">
      <w:pPr>
        <w:rPr>
          <w:rFonts w:eastAsia="Calibri" w:cs="Arial"/>
          <w:szCs w:val="22"/>
          <w:lang w:eastAsia="en-US"/>
        </w:rPr>
      </w:pPr>
      <w:r>
        <w:rPr>
          <w:rFonts w:eastAsia="Calibri" w:cs="Arial"/>
          <w:szCs w:val="22"/>
          <w:lang w:eastAsia="en-US"/>
        </w:rPr>
        <w:t>A</w:t>
      </w:r>
      <w:r w:rsidR="009B1E82" w:rsidRPr="009B1E82">
        <w:rPr>
          <w:rFonts w:eastAsia="Calibri" w:cs="Arial"/>
          <w:szCs w:val="22"/>
          <w:lang w:eastAsia="en-US"/>
        </w:rPr>
        <w:t xml:space="preserve">s per the Gambling Commission’s Guidance for local authorities the Licensing Authority will seek to avoid duplication with other regulatory regimes so far as possible. </w:t>
      </w:r>
    </w:p>
    <w:p w14:paraId="19379072" w14:textId="77777777" w:rsidR="00523C3B" w:rsidRPr="009B1E82" w:rsidRDefault="00523C3B" w:rsidP="008D6739">
      <w:pPr>
        <w:rPr>
          <w:rFonts w:eastAsia="Calibri" w:cs="Arial"/>
          <w:szCs w:val="22"/>
          <w:lang w:eastAsia="en-US"/>
        </w:rPr>
      </w:pPr>
    </w:p>
    <w:p w14:paraId="03AD1E24" w14:textId="77777777" w:rsidR="009B1E82" w:rsidRPr="009A497E" w:rsidRDefault="009B1E82" w:rsidP="009A497E">
      <w:pPr>
        <w:pStyle w:val="Heading3"/>
        <w:rPr>
          <w:rFonts w:eastAsia="Calibri"/>
          <w:b/>
          <w:bCs/>
          <w:u w:val="none"/>
        </w:rPr>
      </w:pPr>
      <w:r w:rsidRPr="009A497E">
        <w:rPr>
          <w:rFonts w:eastAsia="Calibri"/>
          <w:b/>
          <w:bCs/>
          <w:u w:val="none"/>
        </w:rPr>
        <w:t>Door Supervisors</w:t>
      </w:r>
    </w:p>
    <w:p w14:paraId="2369EB73" w14:textId="77777777" w:rsidR="009B1E82" w:rsidRDefault="009B1E82" w:rsidP="008D6739">
      <w:pPr>
        <w:rPr>
          <w:rFonts w:eastAsia="Calibri" w:cs="Arial"/>
          <w:szCs w:val="22"/>
          <w:lang w:eastAsia="en-US"/>
        </w:rPr>
      </w:pPr>
      <w:r w:rsidRPr="009B1E82">
        <w:rPr>
          <w:rFonts w:eastAsia="Calibri" w:cs="Arial"/>
          <w:szCs w:val="22"/>
          <w:lang w:eastAsia="en-US"/>
        </w:rPr>
        <w:t>The Gambling Commission’s Gu</w:t>
      </w:r>
      <w:r w:rsidR="0010326B">
        <w:rPr>
          <w:rFonts w:eastAsia="Calibri" w:cs="Arial"/>
          <w:szCs w:val="22"/>
          <w:lang w:eastAsia="en-US"/>
        </w:rPr>
        <w:t>idance advises</w:t>
      </w:r>
      <w:r w:rsidRPr="009B1E82">
        <w:rPr>
          <w:rFonts w:eastAsia="Calibri" w:cs="Arial"/>
          <w:szCs w:val="22"/>
          <w:lang w:eastAsia="en-US"/>
        </w:rPr>
        <w:t xml:space="preserve"> that licensing authorities may require persons operating premises in which gambling takes place to take measures such as the supervision of entrances; segregation of gambling from non-gambling areas frequented by children (assuming such non-gambling areas are compatible with requirements of the Act); and the supervision of gaming machines in non-adult gambling specific premises </w:t>
      </w:r>
      <w:proofErr w:type="gramStart"/>
      <w:r w:rsidRPr="009B1E82">
        <w:rPr>
          <w:rFonts w:eastAsia="Calibri" w:cs="Arial"/>
          <w:szCs w:val="22"/>
          <w:lang w:eastAsia="en-US"/>
        </w:rPr>
        <w:t>in order to</w:t>
      </w:r>
      <w:proofErr w:type="gramEnd"/>
      <w:r w:rsidRPr="009B1E82">
        <w:rPr>
          <w:rFonts w:eastAsia="Calibri" w:cs="Arial"/>
          <w:szCs w:val="22"/>
          <w:lang w:eastAsia="en-US"/>
        </w:rPr>
        <w:t xml:space="preserve"> pursue the licensing objectives. </w:t>
      </w:r>
    </w:p>
    <w:p w14:paraId="317A603D" w14:textId="77777777" w:rsidR="0010326B" w:rsidRPr="009B1E82" w:rsidRDefault="0010326B" w:rsidP="008D6739">
      <w:pPr>
        <w:rPr>
          <w:rFonts w:eastAsia="Calibri" w:cs="Arial"/>
          <w:szCs w:val="22"/>
          <w:lang w:eastAsia="en-US"/>
        </w:rPr>
      </w:pPr>
    </w:p>
    <w:p w14:paraId="3ECAC63F" w14:textId="77777777" w:rsidR="009B1E82" w:rsidRDefault="009B1E82" w:rsidP="008D6739">
      <w:pPr>
        <w:rPr>
          <w:rFonts w:eastAsia="Calibri" w:cs="Arial"/>
          <w:szCs w:val="22"/>
          <w:lang w:eastAsia="en-US"/>
        </w:rPr>
      </w:pPr>
      <w:r w:rsidRPr="009B1E82">
        <w:rPr>
          <w:rFonts w:eastAsia="Calibri" w:cs="Arial"/>
          <w:szCs w:val="22"/>
          <w:lang w:eastAsia="en-US"/>
        </w:rPr>
        <w:t xml:space="preserve">Any person employed to fulfil a condition on a premises licence that requires door supervision should hold a relevant licence issued by the Security Industry Authority (SIA). </w:t>
      </w:r>
    </w:p>
    <w:p w14:paraId="042440AC" w14:textId="77777777" w:rsidR="0010326B" w:rsidRPr="009B1E82" w:rsidRDefault="0010326B" w:rsidP="008D6739">
      <w:pPr>
        <w:rPr>
          <w:rFonts w:eastAsia="Calibri" w:cs="Arial"/>
          <w:szCs w:val="22"/>
          <w:lang w:eastAsia="en-US"/>
        </w:rPr>
      </w:pPr>
    </w:p>
    <w:p w14:paraId="7DD1BB88" w14:textId="77777777" w:rsidR="009B1E82" w:rsidRDefault="009B1E82" w:rsidP="008D6739">
      <w:pPr>
        <w:rPr>
          <w:rFonts w:eastAsia="Calibri" w:cs="Arial"/>
          <w:szCs w:val="22"/>
          <w:lang w:eastAsia="en-US"/>
        </w:rPr>
      </w:pPr>
      <w:r w:rsidRPr="009B1E82">
        <w:rPr>
          <w:rFonts w:eastAsia="Calibri" w:cs="Arial"/>
          <w:szCs w:val="22"/>
          <w:lang w:eastAsia="en-US"/>
        </w:rPr>
        <w:t xml:space="preserve">It is to be noted that door supervisors at licensed casino or bingo premises are exempt from the requirements of the Private Security Industry Act 2001. Where an authority imposes door supervision requirements on such licences, the personnel will not need licensing under the 2001 Act. </w:t>
      </w:r>
    </w:p>
    <w:p w14:paraId="72144152" w14:textId="77777777" w:rsidR="0010326B" w:rsidRPr="009B1E82" w:rsidRDefault="0010326B" w:rsidP="008D6739">
      <w:pPr>
        <w:rPr>
          <w:rFonts w:eastAsia="Calibri" w:cs="Arial"/>
          <w:szCs w:val="22"/>
          <w:lang w:eastAsia="en-US"/>
        </w:rPr>
      </w:pPr>
    </w:p>
    <w:p w14:paraId="0E1ADCCE"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therefore has specific requirements for door supervisors working at casinos or bingo premises, where there are multiple licensable activities and/or the Police Licensing Officer has concerns about the licensing objectives being undermined. </w:t>
      </w:r>
    </w:p>
    <w:p w14:paraId="3795819C" w14:textId="77777777" w:rsidR="0010326B" w:rsidRPr="009B1E82" w:rsidRDefault="0010326B" w:rsidP="008D6739">
      <w:pPr>
        <w:rPr>
          <w:rFonts w:eastAsia="Calibri" w:cs="Arial"/>
          <w:szCs w:val="22"/>
          <w:lang w:eastAsia="en-US"/>
        </w:rPr>
      </w:pPr>
    </w:p>
    <w:p w14:paraId="7D9A0F0A" w14:textId="77777777" w:rsidR="009B1E82" w:rsidRDefault="009B1E82" w:rsidP="008D6739">
      <w:pPr>
        <w:rPr>
          <w:rFonts w:eastAsia="Calibri" w:cs="Arial"/>
          <w:szCs w:val="22"/>
          <w:lang w:eastAsia="en-US"/>
        </w:rPr>
      </w:pPr>
      <w:r w:rsidRPr="009B1E82">
        <w:rPr>
          <w:rFonts w:eastAsia="Calibri" w:cs="Arial"/>
          <w:szCs w:val="22"/>
          <w:lang w:eastAsia="en-US"/>
        </w:rPr>
        <w:t xml:space="preserve">Where the premises are </w:t>
      </w:r>
      <w:r w:rsidR="0010326B">
        <w:rPr>
          <w:rFonts w:eastAsia="Calibri" w:cs="Arial"/>
          <w:szCs w:val="22"/>
          <w:lang w:eastAsia="en-US"/>
        </w:rPr>
        <w:t xml:space="preserve">also </w:t>
      </w:r>
      <w:r w:rsidRPr="009B1E82">
        <w:rPr>
          <w:rFonts w:eastAsia="Calibri" w:cs="Arial"/>
          <w:szCs w:val="22"/>
          <w:lang w:eastAsia="en-US"/>
        </w:rPr>
        <w:t>licensed under the Licensing Act 2003</w:t>
      </w:r>
      <w:r w:rsidR="00F959BC">
        <w:rPr>
          <w:rFonts w:eastAsia="Calibri" w:cs="Arial"/>
          <w:szCs w:val="22"/>
          <w:lang w:eastAsia="en-US"/>
        </w:rPr>
        <w:t>,</w:t>
      </w:r>
      <w:r w:rsidRPr="009B1E82">
        <w:rPr>
          <w:rFonts w:eastAsia="Calibri" w:cs="Arial"/>
          <w:szCs w:val="22"/>
          <w:lang w:eastAsia="en-US"/>
        </w:rPr>
        <w:t xml:space="preserve"> door supervisors will be required to hold a relevant licence issued by the Security Industry Authority (SIA). </w:t>
      </w:r>
    </w:p>
    <w:p w14:paraId="1A3FFCE1" w14:textId="77777777" w:rsidR="009B1E82" w:rsidRPr="009B1E82" w:rsidRDefault="009B1E82" w:rsidP="008D6739">
      <w:pPr>
        <w:rPr>
          <w:rFonts w:eastAsia="Calibri" w:cs="Arial"/>
          <w:szCs w:val="22"/>
          <w:lang w:eastAsia="en-US"/>
        </w:rPr>
      </w:pPr>
    </w:p>
    <w:p w14:paraId="23D4FC29" w14:textId="77777777" w:rsidR="009B1E82" w:rsidRPr="009A497E" w:rsidRDefault="009B1E82" w:rsidP="009A497E">
      <w:pPr>
        <w:pStyle w:val="Heading3"/>
        <w:rPr>
          <w:rFonts w:eastAsia="Calibri"/>
          <w:b/>
          <w:bCs/>
          <w:u w:val="none"/>
        </w:rPr>
      </w:pPr>
      <w:r w:rsidRPr="009A497E">
        <w:rPr>
          <w:rFonts w:eastAsia="Calibri"/>
          <w:b/>
          <w:bCs/>
          <w:u w:val="none"/>
        </w:rPr>
        <w:t>Licensing objectives</w:t>
      </w:r>
    </w:p>
    <w:p w14:paraId="3CDA821E"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has considered the Commission’s Guidance to local authorities in respect of the licensing objectives. </w:t>
      </w:r>
    </w:p>
    <w:p w14:paraId="25BE8ED8" w14:textId="77777777" w:rsidR="009B1E82" w:rsidRPr="00F959BC" w:rsidRDefault="009B1E82" w:rsidP="00F959BC">
      <w:pPr>
        <w:pStyle w:val="ListParagraph"/>
        <w:numPr>
          <w:ilvl w:val="0"/>
          <w:numId w:val="27"/>
        </w:numPr>
        <w:spacing w:after="0" w:line="240" w:lineRule="auto"/>
        <w:ind w:left="714" w:hanging="357"/>
      </w:pPr>
      <w:r w:rsidRPr="00F959BC">
        <w:rPr>
          <w:iCs/>
        </w:rPr>
        <w:t xml:space="preserve">Preventing gambling from being a source of crime or disorder, being associated with crime or disorder or being used to support </w:t>
      </w:r>
      <w:proofErr w:type="gramStart"/>
      <w:r w:rsidRPr="00F959BC">
        <w:rPr>
          <w:iCs/>
        </w:rPr>
        <w:t>crime;</w:t>
      </w:r>
      <w:proofErr w:type="gramEnd"/>
      <w:r w:rsidRPr="00F959BC">
        <w:rPr>
          <w:iCs/>
        </w:rPr>
        <w:t xml:space="preserve"> </w:t>
      </w:r>
    </w:p>
    <w:p w14:paraId="1A7AB50F" w14:textId="77777777" w:rsidR="009B1E82" w:rsidRPr="00F959BC" w:rsidRDefault="009B1E82" w:rsidP="00F959BC">
      <w:pPr>
        <w:pStyle w:val="ListParagraph"/>
        <w:numPr>
          <w:ilvl w:val="0"/>
          <w:numId w:val="27"/>
        </w:numPr>
        <w:spacing w:after="0" w:line="240" w:lineRule="auto"/>
        <w:ind w:left="714" w:hanging="357"/>
      </w:pPr>
      <w:r w:rsidRPr="00F959BC">
        <w:rPr>
          <w:iCs/>
        </w:rPr>
        <w:t xml:space="preserve">Ensuring that gambling is conducted in a fair and open </w:t>
      </w:r>
      <w:proofErr w:type="gramStart"/>
      <w:r w:rsidRPr="00F959BC">
        <w:rPr>
          <w:iCs/>
        </w:rPr>
        <w:t>way;</w:t>
      </w:r>
      <w:proofErr w:type="gramEnd"/>
      <w:r w:rsidRPr="00F959BC">
        <w:rPr>
          <w:iCs/>
        </w:rPr>
        <w:t xml:space="preserve"> </w:t>
      </w:r>
    </w:p>
    <w:p w14:paraId="7080C9F4" w14:textId="77777777" w:rsidR="009B1E82" w:rsidRPr="00F959BC" w:rsidRDefault="009B1E82" w:rsidP="00F959BC">
      <w:pPr>
        <w:pStyle w:val="ListParagraph"/>
        <w:numPr>
          <w:ilvl w:val="0"/>
          <w:numId w:val="27"/>
        </w:numPr>
        <w:spacing w:after="0" w:line="240" w:lineRule="auto"/>
        <w:ind w:left="714" w:hanging="357"/>
      </w:pPr>
      <w:r w:rsidRPr="00F959BC">
        <w:rPr>
          <w:iCs/>
        </w:rPr>
        <w:t xml:space="preserve">Protecting children and other vulnerable persons from being harmed or exploited by gambling. </w:t>
      </w:r>
    </w:p>
    <w:p w14:paraId="17D076C0" w14:textId="77777777" w:rsidR="00F959BC" w:rsidRPr="00F959BC" w:rsidRDefault="00F959BC" w:rsidP="00F959BC">
      <w:pPr>
        <w:pStyle w:val="ListParagraph"/>
        <w:spacing w:after="0" w:line="240" w:lineRule="auto"/>
        <w:ind w:left="714"/>
      </w:pPr>
    </w:p>
    <w:p w14:paraId="336866D0" w14:textId="77777777" w:rsidR="009B1E82" w:rsidRPr="009A497E" w:rsidRDefault="009B1E82" w:rsidP="009A497E">
      <w:pPr>
        <w:pStyle w:val="Heading3"/>
        <w:rPr>
          <w:rFonts w:eastAsia="Calibri"/>
          <w:b/>
          <w:bCs/>
          <w:u w:val="none"/>
        </w:rPr>
      </w:pPr>
      <w:r w:rsidRPr="009A497E">
        <w:rPr>
          <w:rFonts w:eastAsia="Calibri"/>
          <w:b/>
          <w:bCs/>
          <w:u w:val="none"/>
        </w:rPr>
        <w:t>Reviews</w:t>
      </w:r>
    </w:p>
    <w:p w14:paraId="473D02D8" w14:textId="77777777" w:rsidR="009B1E82" w:rsidRPr="009B1E82" w:rsidRDefault="009B1E82" w:rsidP="008D6739">
      <w:pPr>
        <w:rPr>
          <w:rFonts w:eastAsia="Calibri" w:cs="Arial"/>
          <w:szCs w:val="22"/>
          <w:lang w:eastAsia="en-US"/>
        </w:rPr>
      </w:pPr>
      <w:r w:rsidRPr="009B1E82">
        <w:rPr>
          <w:rFonts w:eastAsia="Calibri" w:cs="Arial"/>
          <w:szCs w:val="22"/>
          <w:lang w:eastAsia="en-US"/>
        </w:rPr>
        <w:t>Interested parties or responsible authorities can make requests for a review</w:t>
      </w:r>
      <w:r w:rsidR="00F959BC">
        <w:rPr>
          <w:rFonts w:eastAsia="Calibri" w:cs="Arial"/>
          <w:szCs w:val="22"/>
          <w:lang w:eastAsia="en-US"/>
        </w:rPr>
        <w:t xml:space="preserve"> of a premises licence; </w:t>
      </w:r>
      <w:proofErr w:type="gramStart"/>
      <w:r w:rsidR="00F959BC">
        <w:rPr>
          <w:rFonts w:eastAsia="Calibri" w:cs="Arial"/>
          <w:szCs w:val="22"/>
          <w:lang w:eastAsia="en-US"/>
        </w:rPr>
        <w:t>however</w:t>
      </w:r>
      <w:proofErr w:type="gramEnd"/>
      <w:r w:rsidRPr="009B1E82">
        <w:rPr>
          <w:rFonts w:eastAsia="Calibri" w:cs="Arial"/>
          <w:szCs w:val="22"/>
          <w:lang w:eastAsia="en-US"/>
        </w:rPr>
        <w:t xml:space="preserve"> it is for the Licensing Authority to decide whether the review is to be carried out. This will be </w:t>
      </w:r>
      <w:proofErr w:type="gramStart"/>
      <w:r w:rsidRPr="009B1E82">
        <w:rPr>
          <w:rFonts w:eastAsia="Calibri" w:cs="Arial"/>
          <w:szCs w:val="22"/>
          <w:lang w:eastAsia="en-US"/>
        </w:rPr>
        <w:t>on the basis of</w:t>
      </w:r>
      <w:proofErr w:type="gramEnd"/>
      <w:r w:rsidRPr="009B1E82">
        <w:rPr>
          <w:rFonts w:eastAsia="Calibri" w:cs="Arial"/>
          <w:szCs w:val="22"/>
          <w:lang w:eastAsia="en-US"/>
        </w:rPr>
        <w:t xml:space="preserve"> whether the request for the review is relevant to the following matters: </w:t>
      </w:r>
    </w:p>
    <w:p w14:paraId="0AA2E4AD"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it is in accordance with any relevant code of practice issued by the Gambling </w:t>
      </w:r>
      <w:proofErr w:type="gramStart"/>
      <w:r w:rsidRPr="009B1E82">
        <w:rPr>
          <w:rFonts w:eastAsia="Calibri" w:cs="Arial"/>
          <w:szCs w:val="22"/>
          <w:lang w:eastAsia="en-US"/>
        </w:rPr>
        <w:t>Commission;</w:t>
      </w:r>
      <w:proofErr w:type="gramEnd"/>
      <w:r w:rsidRPr="009B1E82">
        <w:rPr>
          <w:rFonts w:eastAsia="Calibri" w:cs="Arial"/>
          <w:szCs w:val="22"/>
          <w:lang w:eastAsia="en-US"/>
        </w:rPr>
        <w:t xml:space="preserve"> </w:t>
      </w:r>
    </w:p>
    <w:p w14:paraId="262B69E9"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it is in accordance with any relevant Guidance issued by the Gambling </w:t>
      </w:r>
      <w:proofErr w:type="gramStart"/>
      <w:r w:rsidRPr="009B1E82">
        <w:rPr>
          <w:rFonts w:eastAsia="Calibri" w:cs="Arial"/>
          <w:szCs w:val="22"/>
          <w:lang w:eastAsia="en-US"/>
        </w:rPr>
        <w:t>Commission;</w:t>
      </w:r>
      <w:proofErr w:type="gramEnd"/>
      <w:r w:rsidRPr="009B1E82">
        <w:rPr>
          <w:rFonts w:eastAsia="Calibri" w:cs="Arial"/>
          <w:szCs w:val="22"/>
          <w:lang w:eastAsia="en-US"/>
        </w:rPr>
        <w:t xml:space="preserve"> </w:t>
      </w:r>
    </w:p>
    <w:p w14:paraId="6A8AD7CC"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it is reasonably consistent with the licensing objectives; and </w:t>
      </w:r>
    </w:p>
    <w:p w14:paraId="6B85AA3D"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it is in accordance with the authority’s statement of licensing policy. </w:t>
      </w:r>
    </w:p>
    <w:p w14:paraId="01E0CD0A" w14:textId="77777777" w:rsidR="009B1E82" w:rsidRPr="009B1E82" w:rsidRDefault="009B1E82" w:rsidP="008D6739">
      <w:pPr>
        <w:ind w:left="720"/>
        <w:contextualSpacing/>
        <w:rPr>
          <w:rFonts w:eastAsia="Calibri" w:cs="Arial"/>
          <w:szCs w:val="22"/>
          <w:lang w:eastAsia="en-US"/>
        </w:rPr>
      </w:pPr>
    </w:p>
    <w:p w14:paraId="2826BB3F" w14:textId="77777777" w:rsidR="009B1E82" w:rsidRDefault="009B1E82" w:rsidP="008D6739">
      <w:pPr>
        <w:rPr>
          <w:rFonts w:eastAsia="Calibri" w:cs="Arial"/>
          <w:szCs w:val="22"/>
          <w:lang w:eastAsia="en-US"/>
        </w:rPr>
      </w:pPr>
      <w:r w:rsidRPr="009B1E82">
        <w:rPr>
          <w:rFonts w:eastAsia="Calibri" w:cs="Arial"/>
          <w:szCs w:val="22"/>
          <w:lang w:eastAsia="en-US"/>
        </w:rPr>
        <w:lastRenderedPageBreak/>
        <w:t>Consideration will be given as to whether the request is frivolous, vexatious, or will certainly not cause the Licen</w:t>
      </w:r>
      <w:r w:rsidR="00A818CE">
        <w:rPr>
          <w:rFonts w:eastAsia="Calibri" w:cs="Arial"/>
          <w:szCs w:val="22"/>
          <w:lang w:eastAsia="en-US"/>
        </w:rPr>
        <w:t xml:space="preserve">sing Authority to wish to alter, revoke or </w:t>
      </w:r>
      <w:r w:rsidRPr="009B1E82">
        <w:rPr>
          <w:rFonts w:eastAsia="Calibri" w:cs="Arial"/>
          <w:szCs w:val="22"/>
          <w:lang w:eastAsia="en-US"/>
        </w:rPr>
        <w:t xml:space="preserve">suspend the licence, or whether it is substantially the same as previous representations or requests for review. </w:t>
      </w:r>
    </w:p>
    <w:p w14:paraId="70EA25B8" w14:textId="77777777" w:rsidR="00A818CE" w:rsidRPr="009B1E82" w:rsidRDefault="00A818CE" w:rsidP="008D6739">
      <w:pPr>
        <w:rPr>
          <w:rFonts w:eastAsia="Calibri" w:cs="Arial"/>
          <w:szCs w:val="22"/>
          <w:lang w:eastAsia="en-US"/>
        </w:rPr>
      </w:pPr>
    </w:p>
    <w:p w14:paraId="61B5FFC6" w14:textId="77777777" w:rsidR="00A818CE" w:rsidRDefault="009B1E82" w:rsidP="008D6739">
      <w:pPr>
        <w:rPr>
          <w:rFonts w:eastAsia="Calibri" w:cs="Arial"/>
          <w:szCs w:val="22"/>
          <w:lang w:eastAsia="en-US"/>
        </w:rPr>
      </w:pPr>
      <w:r w:rsidRPr="009B1E82">
        <w:rPr>
          <w:rFonts w:eastAsia="Calibri" w:cs="Arial"/>
          <w:szCs w:val="22"/>
          <w:lang w:eastAsia="en-US"/>
        </w:rPr>
        <w:t xml:space="preserve">The Licensing Authority can also initiate a review of a licence </w:t>
      </w:r>
      <w:proofErr w:type="gramStart"/>
      <w:r w:rsidRPr="009B1E82">
        <w:rPr>
          <w:rFonts w:eastAsia="Calibri" w:cs="Arial"/>
          <w:szCs w:val="22"/>
          <w:lang w:eastAsia="en-US"/>
        </w:rPr>
        <w:t>on the basis of</w:t>
      </w:r>
      <w:proofErr w:type="gramEnd"/>
      <w:r w:rsidRPr="009B1E82">
        <w:rPr>
          <w:rFonts w:eastAsia="Calibri" w:cs="Arial"/>
          <w:szCs w:val="22"/>
          <w:lang w:eastAsia="en-US"/>
        </w:rPr>
        <w:t xml:space="preserve"> any reason that it thinks is appropriate.</w:t>
      </w:r>
    </w:p>
    <w:p w14:paraId="1E22398E"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 </w:t>
      </w:r>
    </w:p>
    <w:p w14:paraId="55D71CDE" w14:textId="77777777" w:rsidR="009B1E82" w:rsidRPr="009A497E" w:rsidRDefault="009B1E82" w:rsidP="009A497E">
      <w:pPr>
        <w:pStyle w:val="Heading3"/>
        <w:rPr>
          <w:rFonts w:eastAsia="Calibri"/>
          <w:b/>
          <w:bCs/>
          <w:u w:val="none"/>
        </w:rPr>
      </w:pPr>
      <w:r w:rsidRPr="009A497E">
        <w:rPr>
          <w:rFonts w:eastAsia="Calibri"/>
          <w:b/>
          <w:bCs/>
          <w:u w:val="none"/>
        </w:rPr>
        <w:t>Provisional Statements</w:t>
      </w:r>
    </w:p>
    <w:p w14:paraId="387B4D30"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notes the Guidance from the Gambling Commission which states: </w:t>
      </w:r>
    </w:p>
    <w:p w14:paraId="6D4CEA6C" w14:textId="77777777" w:rsidR="009B1E82" w:rsidRPr="009B1E82" w:rsidRDefault="00A818CE" w:rsidP="008D6739">
      <w:pPr>
        <w:rPr>
          <w:rFonts w:eastAsia="Calibri" w:cs="Arial"/>
          <w:szCs w:val="22"/>
          <w:lang w:eastAsia="en-US"/>
        </w:rPr>
      </w:pPr>
      <w:r>
        <w:rPr>
          <w:rFonts w:eastAsia="Calibri" w:cs="Arial"/>
          <w:szCs w:val="22"/>
          <w:lang w:eastAsia="en-US"/>
        </w:rPr>
        <w:t>“</w:t>
      </w:r>
      <w:r w:rsidR="009B1E82" w:rsidRPr="009B1E82">
        <w:rPr>
          <w:rFonts w:eastAsia="Calibri" w:cs="Arial"/>
          <w:szCs w:val="22"/>
          <w:lang w:eastAsia="en-US"/>
        </w:rPr>
        <w:t xml:space="preserve">S.204 of the Act provides for a person to make an application to the Licensing Authority for a provisional statement in respect of premises that he or she: </w:t>
      </w:r>
    </w:p>
    <w:p w14:paraId="3ACA3615" w14:textId="77777777" w:rsidR="009B1E82" w:rsidRPr="009B1E82" w:rsidRDefault="0003197B" w:rsidP="008D6739">
      <w:pPr>
        <w:numPr>
          <w:ilvl w:val="0"/>
          <w:numId w:val="17"/>
        </w:numPr>
        <w:rPr>
          <w:rFonts w:eastAsia="Calibri" w:cs="Arial"/>
          <w:szCs w:val="22"/>
          <w:lang w:eastAsia="en-US"/>
        </w:rPr>
      </w:pPr>
      <w:r>
        <w:rPr>
          <w:rFonts w:eastAsia="Calibri" w:cs="Arial"/>
          <w:szCs w:val="22"/>
          <w:lang w:eastAsia="en-US"/>
        </w:rPr>
        <w:t>E</w:t>
      </w:r>
      <w:r w:rsidR="00A818CE">
        <w:rPr>
          <w:rFonts w:eastAsia="Calibri" w:cs="Arial"/>
          <w:szCs w:val="22"/>
          <w:lang w:eastAsia="en-US"/>
        </w:rPr>
        <w:t xml:space="preserve">xpects to be </w:t>
      </w:r>
      <w:proofErr w:type="gramStart"/>
      <w:r w:rsidR="00A818CE">
        <w:rPr>
          <w:rFonts w:eastAsia="Calibri" w:cs="Arial"/>
          <w:szCs w:val="22"/>
          <w:lang w:eastAsia="en-US"/>
        </w:rPr>
        <w:t>constructed;</w:t>
      </w:r>
      <w:proofErr w:type="gramEnd"/>
    </w:p>
    <w:p w14:paraId="7A899F6A" w14:textId="77777777" w:rsidR="009B1E82" w:rsidRPr="009B1E82" w:rsidRDefault="0003197B" w:rsidP="008D6739">
      <w:pPr>
        <w:numPr>
          <w:ilvl w:val="0"/>
          <w:numId w:val="17"/>
        </w:numPr>
        <w:rPr>
          <w:rFonts w:eastAsia="Calibri" w:cs="Arial"/>
          <w:szCs w:val="22"/>
          <w:lang w:eastAsia="en-US"/>
        </w:rPr>
      </w:pPr>
      <w:r>
        <w:rPr>
          <w:rFonts w:eastAsia="Calibri" w:cs="Arial"/>
          <w:szCs w:val="22"/>
          <w:lang w:eastAsia="en-US"/>
        </w:rPr>
        <w:t>E</w:t>
      </w:r>
      <w:r w:rsidR="00A818CE">
        <w:rPr>
          <w:rFonts w:eastAsia="Calibri" w:cs="Arial"/>
          <w:szCs w:val="22"/>
          <w:lang w:eastAsia="en-US"/>
        </w:rPr>
        <w:t xml:space="preserve">xpects to be </w:t>
      </w:r>
      <w:proofErr w:type="gramStart"/>
      <w:r w:rsidR="00A818CE">
        <w:rPr>
          <w:rFonts w:eastAsia="Calibri" w:cs="Arial"/>
          <w:szCs w:val="22"/>
          <w:lang w:eastAsia="en-US"/>
        </w:rPr>
        <w:t>altered;</w:t>
      </w:r>
      <w:proofErr w:type="gramEnd"/>
    </w:p>
    <w:p w14:paraId="0CB592E8" w14:textId="77777777" w:rsidR="009B1E82" w:rsidRDefault="0003197B" w:rsidP="008D6739">
      <w:pPr>
        <w:numPr>
          <w:ilvl w:val="0"/>
          <w:numId w:val="17"/>
        </w:numPr>
        <w:rPr>
          <w:rFonts w:eastAsia="Calibri" w:cs="Arial"/>
          <w:szCs w:val="22"/>
          <w:lang w:eastAsia="en-US"/>
        </w:rPr>
      </w:pPr>
      <w:r>
        <w:rPr>
          <w:rFonts w:eastAsia="Calibri" w:cs="Arial"/>
          <w:szCs w:val="22"/>
          <w:lang w:eastAsia="en-US"/>
        </w:rPr>
        <w:t>E</w:t>
      </w:r>
      <w:r w:rsidR="009B1E82" w:rsidRPr="009B1E82">
        <w:rPr>
          <w:rFonts w:eastAsia="Calibri" w:cs="Arial"/>
          <w:szCs w:val="22"/>
          <w:lang w:eastAsia="en-US"/>
        </w:rPr>
        <w:t xml:space="preserve">xpects to acquire a right to occupy. </w:t>
      </w:r>
      <w:r w:rsidR="00A818CE">
        <w:rPr>
          <w:rFonts w:eastAsia="Calibri" w:cs="Arial"/>
          <w:szCs w:val="22"/>
          <w:lang w:eastAsia="en-US"/>
        </w:rPr>
        <w:t>“</w:t>
      </w:r>
    </w:p>
    <w:p w14:paraId="2CD18940" w14:textId="77777777" w:rsidR="009B1E82" w:rsidRPr="009B1E82" w:rsidRDefault="009B1E82" w:rsidP="008D6739">
      <w:pPr>
        <w:ind w:left="1701"/>
        <w:rPr>
          <w:rFonts w:eastAsia="Calibri" w:cs="Arial"/>
          <w:szCs w:val="22"/>
          <w:lang w:eastAsia="en-US"/>
        </w:rPr>
      </w:pPr>
    </w:p>
    <w:p w14:paraId="7D8B3436" w14:textId="77777777" w:rsidR="009B1E82" w:rsidRDefault="009B1E82" w:rsidP="008D6739">
      <w:pPr>
        <w:rPr>
          <w:rFonts w:eastAsia="Calibri" w:cs="Arial"/>
          <w:szCs w:val="22"/>
          <w:lang w:eastAsia="en-US"/>
        </w:rPr>
      </w:pPr>
      <w:r w:rsidRPr="009B1E82">
        <w:rPr>
          <w:rFonts w:eastAsia="Calibri" w:cs="Arial"/>
          <w:szCs w:val="22"/>
          <w:lang w:eastAsia="en-US"/>
        </w:rPr>
        <w:t xml:space="preserve">In terms of representations about premises licence applications, following the grant of a provisional statement, no further representations from relevant authorities or interested parties can be </w:t>
      </w:r>
      <w:proofErr w:type="gramStart"/>
      <w:r w:rsidRPr="009B1E82">
        <w:rPr>
          <w:rFonts w:eastAsia="Calibri" w:cs="Arial"/>
          <w:szCs w:val="22"/>
          <w:lang w:eastAsia="en-US"/>
        </w:rPr>
        <w:t>taken into account</w:t>
      </w:r>
      <w:proofErr w:type="gramEnd"/>
      <w:r w:rsidRPr="009B1E82">
        <w:rPr>
          <w:rFonts w:eastAsia="Calibri" w:cs="Arial"/>
          <w:szCs w:val="22"/>
          <w:lang w:eastAsia="en-US"/>
        </w:rPr>
        <w:t xml:space="preserve"> unless they concern matters which could not have been addressed at the provisional statement stage, or they reflect a change in the applicant’s circumstances. </w:t>
      </w:r>
    </w:p>
    <w:p w14:paraId="605F0542" w14:textId="77777777" w:rsidR="00A818CE" w:rsidRPr="009B1E82" w:rsidRDefault="00A818CE" w:rsidP="008D6739">
      <w:pPr>
        <w:rPr>
          <w:rFonts w:eastAsia="Calibri" w:cs="Arial"/>
          <w:szCs w:val="22"/>
          <w:lang w:eastAsia="en-US"/>
        </w:rPr>
      </w:pPr>
    </w:p>
    <w:p w14:paraId="3859A8BE" w14:textId="77777777" w:rsidR="009B1E82" w:rsidRPr="009B1E82" w:rsidRDefault="009B1E82" w:rsidP="008D6739">
      <w:pPr>
        <w:rPr>
          <w:rFonts w:eastAsia="Calibri" w:cs="Arial"/>
          <w:szCs w:val="22"/>
          <w:lang w:eastAsia="en-US"/>
        </w:rPr>
      </w:pPr>
      <w:r w:rsidRPr="009B1E82">
        <w:rPr>
          <w:rFonts w:eastAsia="Calibri" w:cs="Arial"/>
          <w:szCs w:val="22"/>
          <w:lang w:eastAsia="en-US"/>
        </w:rPr>
        <w:t>In addition, the authority m</w:t>
      </w:r>
      <w:r w:rsidR="0003197B">
        <w:rPr>
          <w:rFonts w:eastAsia="Calibri" w:cs="Arial"/>
          <w:szCs w:val="22"/>
          <w:lang w:eastAsia="en-US"/>
        </w:rPr>
        <w:t xml:space="preserve">ay refuse the premises licence </w:t>
      </w:r>
      <w:r w:rsidRPr="009B1E82">
        <w:rPr>
          <w:rFonts w:eastAsia="Calibri" w:cs="Arial"/>
          <w:szCs w:val="22"/>
          <w:lang w:eastAsia="en-US"/>
        </w:rPr>
        <w:t>or grant it on terms different to those attach</w:t>
      </w:r>
      <w:r w:rsidR="0003197B">
        <w:rPr>
          <w:rFonts w:eastAsia="Calibri" w:cs="Arial"/>
          <w:szCs w:val="22"/>
          <w:lang w:eastAsia="en-US"/>
        </w:rPr>
        <w:t>ed to the provisional statement,</w:t>
      </w:r>
      <w:r w:rsidRPr="009B1E82">
        <w:rPr>
          <w:rFonts w:eastAsia="Calibri" w:cs="Arial"/>
          <w:szCs w:val="22"/>
          <w:lang w:eastAsia="en-US"/>
        </w:rPr>
        <w:t xml:space="preserve"> only by reference to matters: </w:t>
      </w:r>
    </w:p>
    <w:p w14:paraId="62AB4CD9" w14:textId="77777777" w:rsidR="009B1E82" w:rsidRPr="00A818CE" w:rsidRDefault="0003197B" w:rsidP="00A818CE">
      <w:pPr>
        <w:pStyle w:val="ListParagraph"/>
        <w:numPr>
          <w:ilvl w:val="1"/>
          <w:numId w:val="29"/>
        </w:numPr>
        <w:spacing w:after="0" w:line="240" w:lineRule="auto"/>
        <w:ind w:left="709" w:hanging="357"/>
      </w:pPr>
      <w:r>
        <w:t>W</w:t>
      </w:r>
      <w:r w:rsidR="009B1E82" w:rsidRPr="00A818CE">
        <w:t>hich could not have been raised by objectors at th</w:t>
      </w:r>
      <w:r>
        <w:t xml:space="preserve">e provisional licence </w:t>
      </w:r>
      <w:proofErr w:type="gramStart"/>
      <w:r>
        <w:t>stage;</w:t>
      </w:r>
      <w:proofErr w:type="gramEnd"/>
    </w:p>
    <w:p w14:paraId="60B01A24" w14:textId="77777777" w:rsidR="009B1E82" w:rsidRPr="00A818CE" w:rsidRDefault="0003197B" w:rsidP="00A818CE">
      <w:pPr>
        <w:pStyle w:val="ListParagraph"/>
        <w:numPr>
          <w:ilvl w:val="1"/>
          <w:numId w:val="29"/>
        </w:numPr>
        <w:spacing w:after="0" w:line="240" w:lineRule="auto"/>
        <w:ind w:left="709" w:hanging="357"/>
      </w:pPr>
      <w:r>
        <w:t>W</w:t>
      </w:r>
      <w:r w:rsidR="009B1E82" w:rsidRPr="00A818CE">
        <w:t>hich in the authority’s opinion reflect a change i</w:t>
      </w:r>
      <w:r>
        <w:t xml:space="preserve">n the </w:t>
      </w:r>
      <w:proofErr w:type="gramStart"/>
      <w:r>
        <w:t>operator’s circumstances;</w:t>
      </w:r>
      <w:proofErr w:type="gramEnd"/>
    </w:p>
    <w:p w14:paraId="5EE7B3D6" w14:textId="77777777" w:rsidR="009B1E82" w:rsidRDefault="009B1E82" w:rsidP="00A818CE">
      <w:pPr>
        <w:pStyle w:val="ListParagraph"/>
        <w:numPr>
          <w:ilvl w:val="1"/>
          <w:numId w:val="29"/>
        </w:numPr>
        <w:spacing w:after="0" w:line="240" w:lineRule="auto"/>
        <w:ind w:left="709" w:hanging="357"/>
      </w:pPr>
      <w:r w:rsidRPr="00A818CE">
        <w:t xml:space="preserve">Where the premises has not been constructed in accordance with the plan and information submitted with the provisional statement application. This must be a substantial change to the plan and licensing authorities should discuss any concerns they have with the applicant before </w:t>
      </w:r>
      <w:proofErr w:type="gramStart"/>
      <w:r w:rsidRPr="00A818CE">
        <w:t>making a decision</w:t>
      </w:r>
      <w:proofErr w:type="gramEnd"/>
      <w:r w:rsidRPr="00A818CE">
        <w:t xml:space="preserve">. </w:t>
      </w:r>
    </w:p>
    <w:p w14:paraId="79EB13FF" w14:textId="77777777" w:rsidR="00A818CE" w:rsidRPr="00A818CE" w:rsidRDefault="00A818CE" w:rsidP="00A818CE">
      <w:pPr>
        <w:pStyle w:val="ListParagraph"/>
        <w:spacing w:after="0" w:line="240" w:lineRule="auto"/>
        <w:ind w:left="709"/>
      </w:pPr>
    </w:p>
    <w:p w14:paraId="4A6B161F" w14:textId="77777777" w:rsidR="009B1E82" w:rsidRPr="009A497E" w:rsidRDefault="009B1E82" w:rsidP="009A497E">
      <w:pPr>
        <w:pStyle w:val="Heading3"/>
        <w:rPr>
          <w:rFonts w:eastAsia="Calibri"/>
          <w:b/>
          <w:bCs/>
          <w:u w:val="none"/>
        </w:rPr>
      </w:pPr>
      <w:r w:rsidRPr="009A497E">
        <w:rPr>
          <w:rFonts w:eastAsia="Calibri"/>
          <w:b/>
          <w:bCs/>
          <w:u w:val="none"/>
        </w:rPr>
        <w:t xml:space="preserve">Adult Gaming Centres (AGC) </w:t>
      </w:r>
    </w:p>
    <w:p w14:paraId="093C801A"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particularly notes the Commission’s Guidance which states: “No-one under the age of 18 years of age is permitted to enter an AGC. Licensing authorities will wish to have </w:t>
      </w:r>
      <w:proofErr w:type="gramStart"/>
      <w:r w:rsidRPr="009B1E82">
        <w:rPr>
          <w:rFonts w:eastAsia="Calibri" w:cs="Arial"/>
          <w:szCs w:val="22"/>
          <w:lang w:eastAsia="en-US"/>
        </w:rPr>
        <w:t>particular regard</w:t>
      </w:r>
      <w:proofErr w:type="gramEnd"/>
      <w:r w:rsidRPr="009B1E82">
        <w:rPr>
          <w:rFonts w:eastAsia="Calibri" w:cs="Arial"/>
          <w:szCs w:val="22"/>
          <w:lang w:eastAsia="en-US"/>
        </w:rPr>
        <w:t xml:space="preserve"> to the location of an entry to AGCs to minimise the opportunities for children to gain access. This may be of particular importance in areas where young people may be unsupervised and an AGC is in a complex, such as a shopping centre or airport.” </w:t>
      </w:r>
    </w:p>
    <w:p w14:paraId="710B1AF1" w14:textId="77777777" w:rsidR="0051590E" w:rsidRPr="009B1E82" w:rsidRDefault="0051590E" w:rsidP="008D6739">
      <w:pPr>
        <w:rPr>
          <w:rFonts w:eastAsia="Calibri" w:cs="Arial"/>
          <w:szCs w:val="22"/>
          <w:lang w:eastAsia="en-US"/>
        </w:rPr>
      </w:pPr>
    </w:p>
    <w:p w14:paraId="521583EA"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will expect applicants to offer their own measures to meet the licensing objectives although appropriate measures/licence conditions may cover issues such as: </w:t>
      </w:r>
    </w:p>
    <w:p w14:paraId="1E72854C" w14:textId="77777777" w:rsidR="009B1E82" w:rsidRPr="009B1E82" w:rsidRDefault="0051590E" w:rsidP="008D6739">
      <w:pPr>
        <w:numPr>
          <w:ilvl w:val="0"/>
          <w:numId w:val="16"/>
        </w:numPr>
        <w:contextualSpacing/>
        <w:rPr>
          <w:rFonts w:eastAsia="Calibri" w:cs="Arial"/>
          <w:szCs w:val="22"/>
          <w:lang w:eastAsia="en-US"/>
        </w:rPr>
      </w:pPr>
      <w:r>
        <w:rPr>
          <w:rFonts w:eastAsia="Calibri" w:cs="Arial"/>
          <w:szCs w:val="22"/>
          <w:lang w:eastAsia="en-US"/>
        </w:rPr>
        <w:t xml:space="preserve">Proof of age </w:t>
      </w:r>
      <w:proofErr w:type="gramStart"/>
      <w:r>
        <w:rPr>
          <w:rFonts w:eastAsia="Calibri" w:cs="Arial"/>
          <w:szCs w:val="22"/>
          <w:lang w:eastAsia="en-US"/>
        </w:rPr>
        <w:t>schemes;</w:t>
      </w:r>
      <w:proofErr w:type="gramEnd"/>
    </w:p>
    <w:p w14:paraId="2A706D8E" w14:textId="77777777" w:rsidR="009B1E82" w:rsidRPr="009B1E82" w:rsidRDefault="0051590E" w:rsidP="008D6739">
      <w:pPr>
        <w:numPr>
          <w:ilvl w:val="0"/>
          <w:numId w:val="16"/>
        </w:numPr>
        <w:contextualSpacing/>
        <w:rPr>
          <w:rFonts w:eastAsia="Calibri" w:cs="Arial"/>
          <w:szCs w:val="22"/>
          <w:lang w:eastAsia="en-US"/>
        </w:rPr>
      </w:pPr>
      <w:proofErr w:type="gramStart"/>
      <w:r>
        <w:rPr>
          <w:rFonts w:eastAsia="Calibri" w:cs="Arial"/>
          <w:szCs w:val="22"/>
          <w:lang w:eastAsia="en-US"/>
        </w:rPr>
        <w:t>CCTV;</w:t>
      </w:r>
      <w:proofErr w:type="gramEnd"/>
    </w:p>
    <w:p w14:paraId="3627BC39"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Supervi</w:t>
      </w:r>
      <w:r w:rsidR="0051590E">
        <w:rPr>
          <w:rFonts w:eastAsia="Calibri" w:cs="Arial"/>
          <w:szCs w:val="22"/>
          <w:lang w:eastAsia="en-US"/>
        </w:rPr>
        <w:t xml:space="preserve">sion of entrances/machine </w:t>
      </w:r>
      <w:proofErr w:type="gramStart"/>
      <w:r w:rsidR="0051590E">
        <w:rPr>
          <w:rFonts w:eastAsia="Calibri" w:cs="Arial"/>
          <w:szCs w:val="22"/>
          <w:lang w:eastAsia="en-US"/>
        </w:rPr>
        <w:t>areas;</w:t>
      </w:r>
      <w:proofErr w:type="gramEnd"/>
    </w:p>
    <w:p w14:paraId="2D6CB62B" w14:textId="77777777" w:rsidR="009B1E82" w:rsidRPr="009B1E82" w:rsidRDefault="0051590E" w:rsidP="008D6739">
      <w:pPr>
        <w:numPr>
          <w:ilvl w:val="0"/>
          <w:numId w:val="16"/>
        </w:numPr>
        <w:contextualSpacing/>
        <w:rPr>
          <w:rFonts w:eastAsia="Calibri" w:cs="Arial"/>
          <w:szCs w:val="22"/>
          <w:lang w:eastAsia="en-US"/>
        </w:rPr>
      </w:pPr>
      <w:r>
        <w:rPr>
          <w:rFonts w:eastAsia="Calibri" w:cs="Arial"/>
          <w:szCs w:val="22"/>
          <w:lang w:eastAsia="en-US"/>
        </w:rPr>
        <w:t xml:space="preserve">Physical separation of </w:t>
      </w:r>
      <w:proofErr w:type="gramStart"/>
      <w:r>
        <w:rPr>
          <w:rFonts w:eastAsia="Calibri" w:cs="Arial"/>
          <w:szCs w:val="22"/>
          <w:lang w:eastAsia="en-US"/>
        </w:rPr>
        <w:t>areas;</w:t>
      </w:r>
      <w:proofErr w:type="gramEnd"/>
    </w:p>
    <w:p w14:paraId="3E9552D5" w14:textId="77777777" w:rsidR="009B1E82" w:rsidRPr="009B1E82" w:rsidRDefault="0051590E" w:rsidP="008D6739">
      <w:pPr>
        <w:numPr>
          <w:ilvl w:val="0"/>
          <w:numId w:val="16"/>
        </w:numPr>
        <w:contextualSpacing/>
        <w:rPr>
          <w:rFonts w:eastAsia="Calibri" w:cs="Arial"/>
          <w:szCs w:val="22"/>
          <w:lang w:eastAsia="en-US"/>
        </w:rPr>
      </w:pPr>
      <w:r>
        <w:rPr>
          <w:rFonts w:eastAsia="Calibri" w:cs="Arial"/>
          <w:szCs w:val="22"/>
          <w:lang w:eastAsia="en-US"/>
        </w:rPr>
        <w:t xml:space="preserve">Location of </w:t>
      </w:r>
      <w:proofErr w:type="gramStart"/>
      <w:r>
        <w:rPr>
          <w:rFonts w:eastAsia="Calibri" w:cs="Arial"/>
          <w:szCs w:val="22"/>
          <w:lang w:eastAsia="en-US"/>
        </w:rPr>
        <w:t>entry;</w:t>
      </w:r>
      <w:proofErr w:type="gramEnd"/>
    </w:p>
    <w:p w14:paraId="01978C99" w14:textId="77777777" w:rsidR="009B1E82" w:rsidRPr="009B1E82" w:rsidRDefault="0051590E" w:rsidP="008D6739">
      <w:pPr>
        <w:numPr>
          <w:ilvl w:val="0"/>
          <w:numId w:val="16"/>
        </w:numPr>
        <w:contextualSpacing/>
        <w:rPr>
          <w:rFonts w:eastAsia="Calibri" w:cs="Arial"/>
          <w:szCs w:val="22"/>
          <w:lang w:eastAsia="en-US"/>
        </w:rPr>
      </w:pPr>
      <w:r>
        <w:rPr>
          <w:rFonts w:eastAsia="Calibri" w:cs="Arial"/>
          <w:szCs w:val="22"/>
          <w:lang w:eastAsia="en-US"/>
        </w:rPr>
        <w:t xml:space="preserve">Notices or </w:t>
      </w:r>
      <w:proofErr w:type="gramStart"/>
      <w:r>
        <w:rPr>
          <w:rFonts w:eastAsia="Calibri" w:cs="Arial"/>
          <w:szCs w:val="22"/>
          <w:lang w:eastAsia="en-US"/>
        </w:rPr>
        <w:t>signage;</w:t>
      </w:r>
      <w:proofErr w:type="gramEnd"/>
    </w:p>
    <w:p w14:paraId="2DF98D8B" w14:textId="77777777" w:rsidR="009B1E82" w:rsidRPr="009B1E82" w:rsidRDefault="0051590E" w:rsidP="008D6739">
      <w:pPr>
        <w:numPr>
          <w:ilvl w:val="0"/>
          <w:numId w:val="16"/>
        </w:numPr>
        <w:contextualSpacing/>
        <w:rPr>
          <w:rFonts w:eastAsia="Calibri" w:cs="Arial"/>
          <w:szCs w:val="22"/>
          <w:lang w:eastAsia="en-US"/>
        </w:rPr>
      </w:pPr>
      <w:r>
        <w:rPr>
          <w:rFonts w:eastAsia="Calibri" w:cs="Arial"/>
          <w:szCs w:val="22"/>
          <w:lang w:eastAsia="en-US"/>
        </w:rPr>
        <w:t xml:space="preserve">Specific opening </w:t>
      </w:r>
      <w:proofErr w:type="gramStart"/>
      <w:r>
        <w:rPr>
          <w:rFonts w:eastAsia="Calibri" w:cs="Arial"/>
          <w:szCs w:val="22"/>
          <w:lang w:eastAsia="en-US"/>
        </w:rPr>
        <w:t>hours;</w:t>
      </w:r>
      <w:proofErr w:type="gramEnd"/>
    </w:p>
    <w:p w14:paraId="59B7DDAB"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Self-barring </w:t>
      </w:r>
      <w:proofErr w:type="gramStart"/>
      <w:r w:rsidRPr="009B1E82">
        <w:rPr>
          <w:rFonts w:eastAsia="Calibri" w:cs="Arial"/>
          <w:szCs w:val="22"/>
          <w:lang w:eastAsia="en-US"/>
        </w:rPr>
        <w:t>schem</w:t>
      </w:r>
      <w:r w:rsidR="0051590E">
        <w:rPr>
          <w:rFonts w:eastAsia="Calibri" w:cs="Arial"/>
          <w:szCs w:val="22"/>
          <w:lang w:eastAsia="en-US"/>
        </w:rPr>
        <w:t>es;</w:t>
      </w:r>
      <w:proofErr w:type="gramEnd"/>
    </w:p>
    <w:p w14:paraId="7DBFDC18" w14:textId="77777777" w:rsidR="000E72A2" w:rsidRPr="002D3FDF" w:rsidRDefault="000E72A2" w:rsidP="000E72A2">
      <w:pPr>
        <w:numPr>
          <w:ilvl w:val="0"/>
          <w:numId w:val="16"/>
        </w:numPr>
        <w:contextualSpacing/>
        <w:rPr>
          <w:rFonts w:eastAsia="Calibri" w:cs="Arial"/>
          <w:szCs w:val="22"/>
          <w:lang w:eastAsia="en-US"/>
        </w:rPr>
      </w:pPr>
      <w:r w:rsidRPr="002D3FDF">
        <w:rPr>
          <w:rFonts w:eastAsia="Calibri" w:cs="Arial"/>
          <w:szCs w:val="22"/>
          <w:lang w:eastAsia="en-US"/>
        </w:rPr>
        <w:lastRenderedPageBreak/>
        <w:t xml:space="preserve">Safeguarding awareness training and access to associated materials on site for all staff, including in relation to child sexual </w:t>
      </w:r>
      <w:proofErr w:type="gramStart"/>
      <w:r w:rsidRPr="002D3FDF">
        <w:rPr>
          <w:rFonts w:eastAsia="Calibri" w:cs="Arial"/>
          <w:szCs w:val="22"/>
          <w:lang w:eastAsia="en-US"/>
        </w:rPr>
        <w:t>exploitation;</w:t>
      </w:r>
      <w:proofErr w:type="gramEnd"/>
    </w:p>
    <w:p w14:paraId="446B8DB0"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Provision of information leaflets/helpline numbers fo</w:t>
      </w:r>
      <w:r w:rsidR="0051590E">
        <w:rPr>
          <w:rFonts w:eastAsia="Calibri" w:cs="Arial"/>
          <w:szCs w:val="22"/>
          <w:lang w:eastAsia="en-US"/>
        </w:rPr>
        <w:t xml:space="preserve">r organisations such as </w:t>
      </w:r>
      <w:proofErr w:type="spellStart"/>
      <w:r w:rsidR="0051590E">
        <w:rPr>
          <w:rFonts w:eastAsia="Calibri" w:cs="Arial"/>
          <w:szCs w:val="22"/>
          <w:lang w:eastAsia="en-US"/>
        </w:rPr>
        <w:t>GamCare</w:t>
      </w:r>
      <w:proofErr w:type="spellEnd"/>
      <w:r w:rsidR="0051590E">
        <w:rPr>
          <w:rFonts w:eastAsia="Calibri" w:cs="Arial"/>
          <w:szCs w:val="22"/>
          <w:lang w:eastAsia="en-US"/>
        </w:rPr>
        <w:t>.</w:t>
      </w:r>
    </w:p>
    <w:p w14:paraId="6D277446" w14:textId="77777777" w:rsidR="009B1E82" w:rsidRPr="009B1E82" w:rsidRDefault="009B1E82" w:rsidP="008D6739">
      <w:pPr>
        <w:ind w:left="720"/>
        <w:contextualSpacing/>
        <w:rPr>
          <w:rFonts w:eastAsia="Calibri" w:cs="Arial"/>
          <w:szCs w:val="22"/>
          <w:lang w:eastAsia="en-US"/>
        </w:rPr>
      </w:pPr>
    </w:p>
    <w:p w14:paraId="1DA48B61" w14:textId="77777777" w:rsidR="009B1E82" w:rsidRDefault="009B1E82" w:rsidP="008D6739">
      <w:pPr>
        <w:rPr>
          <w:rFonts w:eastAsia="Calibri" w:cs="Arial"/>
          <w:szCs w:val="22"/>
          <w:lang w:eastAsia="en-US"/>
        </w:rPr>
      </w:pPr>
      <w:r w:rsidRPr="009B1E82">
        <w:rPr>
          <w:rFonts w:eastAsia="Calibri" w:cs="Arial"/>
          <w:szCs w:val="22"/>
          <w:lang w:eastAsia="en-US"/>
        </w:rPr>
        <w:t xml:space="preserve">This list is not mandatory, nor exhaustive, and is merely indicative of example measures. </w:t>
      </w:r>
    </w:p>
    <w:p w14:paraId="4C83DC15" w14:textId="77777777" w:rsidR="005C073D" w:rsidRPr="009B1E82" w:rsidRDefault="005C073D" w:rsidP="008D6739">
      <w:pPr>
        <w:rPr>
          <w:rFonts w:eastAsia="Calibri" w:cs="Arial"/>
          <w:szCs w:val="22"/>
          <w:lang w:eastAsia="en-US"/>
        </w:rPr>
      </w:pPr>
    </w:p>
    <w:p w14:paraId="6234BB52" w14:textId="77777777" w:rsidR="009B1E82" w:rsidRPr="009A497E" w:rsidRDefault="009B1E82" w:rsidP="009A497E">
      <w:pPr>
        <w:pStyle w:val="Heading3"/>
        <w:rPr>
          <w:rFonts w:eastAsia="Calibri"/>
          <w:b/>
          <w:bCs/>
          <w:u w:val="none"/>
        </w:rPr>
      </w:pPr>
      <w:r w:rsidRPr="009A497E">
        <w:rPr>
          <w:rFonts w:eastAsia="Calibri"/>
          <w:b/>
          <w:bCs/>
          <w:u w:val="none"/>
        </w:rPr>
        <w:t>Family Entertainment Centres (FECs)</w:t>
      </w:r>
    </w:p>
    <w:p w14:paraId="1C0335D9" w14:textId="77777777" w:rsidR="009B1E82" w:rsidRDefault="009B1E82" w:rsidP="008D6739">
      <w:pPr>
        <w:rPr>
          <w:rFonts w:eastAsia="Calibri" w:cs="Arial"/>
          <w:szCs w:val="22"/>
          <w:lang w:eastAsia="en-US"/>
        </w:rPr>
      </w:pPr>
      <w:r w:rsidRPr="009B1E82">
        <w:rPr>
          <w:rFonts w:eastAsia="Calibri" w:cs="Arial"/>
          <w:szCs w:val="22"/>
          <w:lang w:eastAsia="en-US"/>
        </w:rPr>
        <w:t xml:space="preserve">Family Entertainment Centres are wholly or mainly used for having gaming machines available for use. </w:t>
      </w:r>
    </w:p>
    <w:p w14:paraId="42357F61" w14:textId="77777777" w:rsidR="005C073D" w:rsidRPr="009B1E82" w:rsidRDefault="005C073D" w:rsidP="008D6739">
      <w:pPr>
        <w:rPr>
          <w:rFonts w:eastAsia="Calibri" w:cs="Arial"/>
          <w:szCs w:val="22"/>
          <w:lang w:eastAsia="en-US"/>
        </w:rPr>
      </w:pPr>
    </w:p>
    <w:p w14:paraId="196472E6"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will, as per the Gambling Commission’s Guidance refer to the Commission’s website to see any conditions that apply to operator licences covering the way in which the area containing the category C machines should be delineated. This Licensing Authority will also make itself aware of any mandatory or default conditions on these </w:t>
      </w:r>
      <w:proofErr w:type="gramStart"/>
      <w:r w:rsidRPr="009B1E82">
        <w:rPr>
          <w:rFonts w:eastAsia="Calibri" w:cs="Arial"/>
          <w:szCs w:val="22"/>
          <w:lang w:eastAsia="en-US"/>
        </w:rPr>
        <w:t>premises</w:t>
      </w:r>
      <w:proofErr w:type="gramEnd"/>
      <w:r w:rsidRPr="009B1E82">
        <w:rPr>
          <w:rFonts w:eastAsia="Calibri" w:cs="Arial"/>
          <w:szCs w:val="22"/>
          <w:lang w:eastAsia="en-US"/>
        </w:rPr>
        <w:t xml:space="preserve"> licences. </w:t>
      </w:r>
    </w:p>
    <w:p w14:paraId="3D98A00C" w14:textId="77777777" w:rsidR="005C073D" w:rsidRPr="009B1E82" w:rsidRDefault="005C073D" w:rsidP="008D6739">
      <w:pPr>
        <w:rPr>
          <w:rFonts w:eastAsia="Calibri" w:cs="Arial"/>
          <w:szCs w:val="22"/>
          <w:lang w:eastAsia="en-US"/>
        </w:rPr>
      </w:pPr>
    </w:p>
    <w:p w14:paraId="2340B292"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The Licensing Authority will expect applicants to offer their own measures to meet the licensing objectives although appropriate measures/licence conditions may cover issues such as: </w:t>
      </w:r>
    </w:p>
    <w:p w14:paraId="040F4616" w14:textId="77777777" w:rsidR="009B1E82" w:rsidRPr="009B1E82" w:rsidRDefault="005C073D" w:rsidP="008D6739">
      <w:pPr>
        <w:numPr>
          <w:ilvl w:val="0"/>
          <w:numId w:val="16"/>
        </w:numPr>
        <w:contextualSpacing/>
        <w:rPr>
          <w:rFonts w:eastAsia="Calibri" w:cs="Arial"/>
          <w:szCs w:val="22"/>
          <w:lang w:eastAsia="en-US"/>
        </w:rPr>
      </w:pPr>
      <w:proofErr w:type="gramStart"/>
      <w:r>
        <w:rPr>
          <w:rFonts w:eastAsia="Calibri" w:cs="Arial"/>
          <w:szCs w:val="22"/>
          <w:lang w:eastAsia="en-US"/>
        </w:rPr>
        <w:t>CCTV;</w:t>
      </w:r>
      <w:proofErr w:type="gramEnd"/>
    </w:p>
    <w:p w14:paraId="59007290"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Supervi</w:t>
      </w:r>
      <w:r w:rsidR="005C073D">
        <w:rPr>
          <w:rFonts w:eastAsia="Calibri" w:cs="Arial"/>
          <w:szCs w:val="22"/>
          <w:lang w:eastAsia="en-US"/>
        </w:rPr>
        <w:t xml:space="preserve">sion of entrances/machine </w:t>
      </w:r>
      <w:proofErr w:type="gramStart"/>
      <w:r w:rsidR="005C073D">
        <w:rPr>
          <w:rFonts w:eastAsia="Calibri" w:cs="Arial"/>
          <w:szCs w:val="22"/>
          <w:lang w:eastAsia="en-US"/>
        </w:rPr>
        <w:t>areas;</w:t>
      </w:r>
      <w:proofErr w:type="gramEnd"/>
    </w:p>
    <w:p w14:paraId="0137DD7A" w14:textId="77777777" w:rsidR="009B1E82" w:rsidRPr="009B1E82" w:rsidRDefault="005C073D" w:rsidP="008D6739">
      <w:pPr>
        <w:numPr>
          <w:ilvl w:val="0"/>
          <w:numId w:val="16"/>
        </w:numPr>
        <w:contextualSpacing/>
        <w:rPr>
          <w:rFonts w:eastAsia="Calibri" w:cs="Arial"/>
          <w:szCs w:val="22"/>
          <w:lang w:eastAsia="en-US"/>
        </w:rPr>
      </w:pPr>
      <w:r>
        <w:rPr>
          <w:rFonts w:eastAsia="Calibri" w:cs="Arial"/>
          <w:szCs w:val="22"/>
          <w:lang w:eastAsia="en-US"/>
        </w:rPr>
        <w:t xml:space="preserve">Physical separation of </w:t>
      </w:r>
      <w:proofErr w:type="gramStart"/>
      <w:r>
        <w:rPr>
          <w:rFonts w:eastAsia="Calibri" w:cs="Arial"/>
          <w:szCs w:val="22"/>
          <w:lang w:eastAsia="en-US"/>
        </w:rPr>
        <w:t>areas;</w:t>
      </w:r>
      <w:proofErr w:type="gramEnd"/>
    </w:p>
    <w:p w14:paraId="573838A8" w14:textId="77777777" w:rsidR="009B1E82" w:rsidRPr="009B1E82" w:rsidRDefault="005C073D" w:rsidP="008D6739">
      <w:pPr>
        <w:numPr>
          <w:ilvl w:val="0"/>
          <w:numId w:val="16"/>
        </w:numPr>
        <w:contextualSpacing/>
        <w:rPr>
          <w:rFonts w:eastAsia="Calibri" w:cs="Arial"/>
          <w:szCs w:val="22"/>
          <w:lang w:eastAsia="en-US"/>
        </w:rPr>
      </w:pPr>
      <w:r>
        <w:rPr>
          <w:rFonts w:eastAsia="Calibri" w:cs="Arial"/>
          <w:szCs w:val="22"/>
          <w:lang w:eastAsia="en-US"/>
        </w:rPr>
        <w:t xml:space="preserve">Location of </w:t>
      </w:r>
      <w:proofErr w:type="gramStart"/>
      <w:r>
        <w:rPr>
          <w:rFonts w:eastAsia="Calibri" w:cs="Arial"/>
          <w:szCs w:val="22"/>
          <w:lang w:eastAsia="en-US"/>
        </w:rPr>
        <w:t>entry;</w:t>
      </w:r>
      <w:proofErr w:type="gramEnd"/>
    </w:p>
    <w:p w14:paraId="22E26CBC" w14:textId="77777777" w:rsidR="009B1E82" w:rsidRPr="009B1E82" w:rsidRDefault="005C073D" w:rsidP="008D6739">
      <w:pPr>
        <w:numPr>
          <w:ilvl w:val="0"/>
          <w:numId w:val="16"/>
        </w:numPr>
        <w:contextualSpacing/>
        <w:rPr>
          <w:rFonts w:eastAsia="Calibri" w:cs="Arial"/>
          <w:szCs w:val="22"/>
          <w:lang w:eastAsia="en-US"/>
        </w:rPr>
      </w:pPr>
      <w:r>
        <w:rPr>
          <w:rFonts w:eastAsia="Calibri" w:cs="Arial"/>
          <w:szCs w:val="22"/>
          <w:lang w:eastAsia="en-US"/>
        </w:rPr>
        <w:t xml:space="preserve">Notices or </w:t>
      </w:r>
      <w:proofErr w:type="gramStart"/>
      <w:r>
        <w:rPr>
          <w:rFonts w:eastAsia="Calibri" w:cs="Arial"/>
          <w:szCs w:val="22"/>
          <w:lang w:eastAsia="en-US"/>
        </w:rPr>
        <w:t>signage;</w:t>
      </w:r>
      <w:proofErr w:type="gramEnd"/>
    </w:p>
    <w:p w14:paraId="63723638"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Specific opening </w:t>
      </w:r>
      <w:proofErr w:type="gramStart"/>
      <w:r w:rsidR="005C073D">
        <w:rPr>
          <w:rFonts w:eastAsia="Calibri" w:cs="Arial"/>
          <w:szCs w:val="22"/>
          <w:lang w:eastAsia="en-US"/>
        </w:rPr>
        <w:t>hours;</w:t>
      </w:r>
      <w:proofErr w:type="gramEnd"/>
    </w:p>
    <w:p w14:paraId="2F96FEF3" w14:textId="77777777" w:rsidR="009B1E82" w:rsidRPr="009B1E82" w:rsidRDefault="005C073D" w:rsidP="008D6739">
      <w:pPr>
        <w:numPr>
          <w:ilvl w:val="0"/>
          <w:numId w:val="16"/>
        </w:numPr>
        <w:contextualSpacing/>
        <w:rPr>
          <w:rFonts w:eastAsia="Calibri" w:cs="Arial"/>
          <w:szCs w:val="22"/>
          <w:lang w:eastAsia="en-US"/>
        </w:rPr>
      </w:pPr>
      <w:r>
        <w:rPr>
          <w:rFonts w:eastAsia="Calibri" w:cs="Arial"/>
          <w:szCs w:val="22"/>
          <w:lang w:eastAsia="en-US"/>
        </w:rPr>
        <w:t xml:space="preserve">Self-barring </w:t>
      </w:r>
      <w:proofErr w:type="gramStart"/>
      <w:r>
        <w:rPr>
          <w:rFonts w:eastAsia="Calibri" w:cs="Arial"/>
          <w:szCs w:val="22"/>
          <w:lang w:eastAsia="en-US"/>
        </w:rPr>
        <w:t>schemes;</w:t>
      </w:r>
      <w:proofErr w:type="gramEnd"/>
    </w:p>
    <w:p w14:paraId="4EBF8CBD" w14:textId="77777777" w:rsidR="009B1E82" w:rsidRP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Provision of information leaflets/helpline numbers fo</w:t>
      </w:r>
      <w:r w:rsidR="005C073D">
        <w:rPr>
          <w:rFonts w:eastAsia="Calibri" w:cs="Arial"/>
          <w:szCs w:val="22"/>
          <w:lang w:eastAsia="en-US"/>
        </w:rPr>
        <w:t xml:space="preserve">r organisations such as </w:t>
      </w:r>
      <w:proofErr w:type="spellStart"/>
      <w:proofErr w:type="gramStart"/>
      <w:r w:rsidR="005C073D">
        <w:rPr>
          <w:rFonts w:eastAsia="Calibri" w:cs="Arial"/>
          <w:szCs w:val="22"/>
          <w:lang w:eastAsia="en-US"/>
        </w:rPr>
        <w:t>GamCare</w:t>
      </w:r>
      <w:proofErr w:type="spellEnd"/>
      <w:r w:rsidR="005C073D">
        <w:rPr>
          <w:rFonts w:eastAsia="Calibri" w:cs="Arial"/>
          <w:szCs w:val="22"/>
          <w:lang w:eastAsia="en-US"/>
        </w:rPr>
        <w:t>;</w:t>
      </w:r>
      <w:proofErr w:type="gramEnd"/>
    </w:p>
    <w:p w14:paraId="25870E0C" w14:textId="77777777" w:rsidR="009B1E82" w:rsidRDefault="009B1E82" w:rsidP="008D6739">
      <w:pPr>
        <w:numPr>
          <w:ilvl w:val="0"/>
          <w:numId w:val="16"/>
        </w:numPr>
        <w:contextualSpacing/>
        <w:rPr>
          <w:rFonts w:eastAsia="Calibri" w:cs="Arial"/>
          <w:szCs w:val="22"/>
          <w:lang w:eastAsia="en-US"/>
        </w:rPr>
      </w:pPr>
      <w:r w:rsidRPr="009B1E82">
        <w:rPr>
          <w:rFonts w:eastAsia="Calibri" w:cs="Arial"/>
          <w:szCs w:val="22"/>
          <w:lang w:eastAsia="en-US"/>
        </w:rPr>
        <w:t xml:space="preserve">Measures/training for staff on how to deal with suspected truant </w:t>
      </w:r>
      <w:r w:rsidR="00E715D5">
        <w:rPr>
          <w:rFonts w:eastAsia="Calibri" w:cs="Arial"/>
          <w:szCs w:val="22"/>
          <w:lang w:eastAsia="en-US"/>
        </w:rPr>
        <w:t>school children on the premises; and</w:t>
      </w:r>
    </w:p>
    <w:p w14:paraId="49329E9A" w14:textId="77777777" w:rsidR="00E715D5" w:rsidRDefault="00E715D5" w:rsidP="008D6739">
      <w:pPr>
        <w:numPr>
          <w:ilvl w:val="0"/>
          <w:numId w:val="16"/>
        </w:numPr>
        <w:contextualSpacing/>
        <w:rPr>
          <w:rFonts w:eastAsia="Calibri" w:cs="Arial"/>
          <w:szCs w:val="22"/>
          <w:lang w:eastAsia="en-US"/>
        </w:rPr>
      </w:pPr>
      <w:r w:rsidRPr="00F75997">
        <w:rPr>
          <w:rFonts w:eastAsia="Calibri" w:cs="Arial"/>
          <w:szCs w:val="22"/>
          <w:lang w:eastAsia="en-US"/>
        </w:rPr>
        <w:t>Safeguarding awareness training</w:t>
      </w:r>
      <w:r>
        <w:rPr>
          <w:rFonts w:eastAsia="Calibri" w:cs="Arial"/>
          <w:szCs w:val="22"/>
          <w:lang w:eastAsia="en-US"/>
        </w:rPr>
        <w:t xml:space="preserve"> and access to associated materials on site for all staff, including in relation to child sexual </w:t>
      </w:r>
      <w:proofErr w:type="gramStart"/>
      <w:r>
        <w:rPr>
          <w:rFonts w:eastAsia="Calibri" w:cs="Arial"/>
          <w:szCs w:val="22"/>
          <w:lang w:eastAsia="en-US"/>
        </w:rPr>
        <w:t>exploitation;</w:t>
      </w:r>
      <w:proofErr w:type="gramEnd"/>
    </w:p>
    <w:p w14:paraId="35FB5549" w14:textId="77777777" w:rsidR="009B1E82" w:rsidRPr="009B1E82" w:rsidRDefault="009B1E82" w:rsidP="008D6739">
      <w:pPr>
        <w:ind w:left="720"/>
        <w:contextualSpacing/>
        <w:rPr>
          <w:rFonts w:eastAsia="Calibri" w:cs="Arial"/>
          <w:szCs w:val="22"/>
          <w:lang w:eastAsia="en-US"/>
        </w:rPr>
      </w:pPr>
    </w:p>
    <w:p w14:paraId="0603951C" w14:textId="77777777" w:rsidR="009B1E82" w:rsidRDefault="009B1E82" w:rsidP="008D6739">
      <w:pPr>
        <w:rPr>
          <w:rFonts w:eastAsia="Calibri" w:cs="Arial"/>
          <w:szCs w:val="22"/>
          <w:lang w:eastAsia="en-US"/>
        </w:rPr>
      </w:pPr>
      <w:r w:rsidRPr="009B1E82">
        <w:rPr>
          <w:rFonts w:eastAsia="Calibri" w:cs="Arial"/>
          <w:szCs w:val="22"/>
          <w:lang w:eastAsia="en-US"/>
        </w:rPr>
        <w:t xml:space="preserve">This list is not mandatory, nor exhaustive, and is merely indicative of example measures. </w:t>
      </w:r>
    </w:p>
    <w:p w14:paraId="527C0081" w14:textId="77777777" w:rsidR="005C073D" w:rsidRPr="009B1E82" w:rsidRDefault="005C073D" w:rsidP="008D6739">
      <w:pPr>
        <w:rPr>
          <w:rFonts w:eastAsia="Calibri" w:cs="Arial"/>
          <w:szCs w:val="22"/>
          <w:lang w:eastAsia="en-US"/>
        </w:rPr>
      </w:pPr>
    </w:p>
    <w:p w14:paraId="7A2C2A94" w14:textId="77777777" w:rsidR="009B1E82" w:rsidRPr="009B1E82" w:rsidRDefault="009B1E82" w:rsidP="008D6739">
      <w:pPr>
        <w:rPr>
          <w:rFonts w:eastAsia="Calibri" w:cs="Arial"/>
          <w:szCs w:val="22"/>
          <w:lang w:eastAsia="en-US"/>
        </w:rPr>
      </w:pPr>
      <w:r w:rsidRPr="009B1E82">
        <w:rPr>
          <w:rFonts w:eastAsia="Calibri" w:cs="Arial"/>
          <w:b/>
          <w:bCs/>
          <w:szCs w:val="22"/>
          <w:lang w:eastAsia="en-US"/>
        </w:rPr>
        <w:t>Tracks</w:t>
      </w:r>
    </w:p>
    <w:p w14:paraId="0B6A682E"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is aware that the Gambling Commission may provide specific Guidance as regards tracks. The Licensing Authority shall have regard to this Guidance in the discharge of its functions. </w:t>
      </w:r>
    </w:p>
    <w:p w14:paraId="0C2B5C4B" w14:textId="77777777" w:rsidR="005C073D" w:rsidRPr="009B1E82" w:rsidRDefault="005C073D" w:rsidP="008D6739">
      <w:pPr>
        <w:rPr>
          <w:rFonts w:eastAsia="Calibri" w:cs="Arial"/>
          <w:szCs w:val="22"/>
          <w:lang w:eastAsia="en-US"/>
        </w:rPr>
      </w:pPr>
    </w:p>
    <w:p w14:paraId="768069D5" w14:textId="77777777" w:rsidR="009B1E82" w:rsidRPr="009B1E82" w:rsidRDefault="009B1E82" w:rsidP="008D6739">
      <w:pPr>
        <w:rPr>
          <w:rFonts w:eastAsia="Calibri" w:cs="Arial"/>
          <w:szCs w:val="22"/>
          <w:lang w:eastAsia="en-US"/>
        </w:rPr>
      </w:pPr>
      <w:r w:rsidRPr="009B1E82">
        <w:rPr>
          <w:rFonts w:eastAsia="Calibri" w:cs="Arial"/>
          <w:b/>
          <w:bCs/>
          <w:szCs w:val="22"/>
          <w:lang w:eastAsia="en-US"/>
        </w:rPr>
        <w:t>Bingo</w:t>
      </w:r>
    </w:p>
    <w:p w14:paraId="3769003F"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will have regard to the Gambling Commission’s Guidance. </w:t>
      </w:r>
    </w:p>
    <w:p w14:paraId="523B5211" w14:textId="77777777" w:rsidR="005C073D" w:rsidRPr="009B1E82" w:rsidRDefault="005C073D" w:rsidP="008D6739">
      <w:pPr>
        <w:rPr>
          <w:rFonts w:eastAsia="Calibri" w:cs="Arial"/>
          <w:szCs w:val="22"/>
          <w:lang w:eastAsia="en-US"/>
        </w:rPr>
      </w:pPr>
    </w:p>
    <w:p w14:paraId="48C84691" w14:textId="77777777" w:rsidR="009B1E82" w:rsidRPr="009B1E82" w:rsidRDefault="009B1E82" w:rsidP="008D6739">
      <w:pPr>
        <w:rPr>
          <w:rFonts w:eastAsia="Calibri" w:cs="Arial"/>
          <w:szCs w:val="22"/>
          <w:lang w:eastAsia="en-US"/>
        </w:rPr>
      </w:pPr>
      <w:r w:rsidRPr="009B1E82">
        <w:rPr>
          <w:rFonts w:eastAsia="Calibri" w:cs="Arial"/>
          <w:b/>
          <w:bCs/>
          <w:szCs w:val="22"/>
          <w:lang w:eastAsia="en-US"/>
        </w:rPr>
        <w:t>Temporary Use Notice (TUN)</w:t>
      </w:r>
    </w:p>
    <w:p w14:paraId="46481433" w14:textId="77777777" w:rsidR="009B1E82" w:rsidRDefault="009B1E82" w:rsidP="008D6739">
      <w:pPr>
        <w:rPr>
          <w:rFonts w:eastAsia="Calibri" w:cs="Arial"/>
          <w:szCs w:val="22"/>
          <w:lang w:eastAsia="en-US"/>
        </w:rPr>
      </w:pPr>
      <w:r w:rsidRPr="009B1E82">
        <w:rPr>
          <w:rFonts w:eastAsia="Calibri" w:cs="Arial"/>
          <w:szCs w:val="22"/>
          <w:lang w:eastAsia="en-US"/>
        </w:rPr>
        <w:t xml:space="preserve">There are </w:t>
      </w:r>
      <w:proofErr w:type="gramStart"/>
      <w:r w:rsidRPr="009B1E82">
        <w:rPr>
          <w:rFonts w:eastAsia="Calibri" w:cs="Arial"/>
          <w:szCs w:val="22"/>
          <w:lang w:eastAsia="en-US"/>
        </w:rPr>
        <w:t>a number of</w:t>
      </w:r>
      <w:proofErr w:type="gramEnd"/>
      <w:r w:rsidRPr="009B1E82">
        <w:rPr>
          <w:rFonts w:eastAsia="Calibri" w:cs="Arial"/>
          <w:szCs w:val="22"/>
          <w:lang w:eastAsia="en-US"/>
        </w:rPr>
        <w:t xml:space="preserve"> statutory limits as regards Temporary Use Notices. It is noted that it falls to the Licensing Authority to decide what constitutes a ‘set of premises’ where Temporary Use Notices are received relating to the same building/site (see Gambling Commission’s Guidance for Local Authorities). </w:t>
      </w:r>
    </w:p>
    <w:p w14:paraId="563BB51A" w14:textId="77777777" w:rsidR="005C073D" w:rsidRPr="009B1E82" w:rsidRDefault="005C073D" w:rsidP="008D6739">
      <w:pPr>
        <w:rPr>
          <w:rFonts w:eastAsia="Calibri" w:cs="Arial"/>
          <w:szCs w:val="22"/>
          <w:lang w:eastAsia="en-US"/>
        </w:rPr>
      </w:pPr>
    </w:p>
    <w:p w14:paraId="4B9F98B6" w14:textId="77777777" w:rsidR="009B1E82" w:rsidRPr="009B1E82" w:rsidRDefault="009B1E82" w:rsidP="008D6739">
      <w:pPr>
        <w:rPr>
          <w:rFonts w:eastAsia="Calibri" w:cs="Arial"/>
          <w:szCs w:val="22"/>
          <w:lang w:eastAsia="en-US"/>
        </w:rPr>
      </w:pPr>
      <w:r w:rsidRPr="009B1E82">
        <w:rPr>
          <w:rFonts w:eastAsia="Calibri" w:cs="Arial"/>
          <w:b/>
          <w:bCs/>
          <w:szCs w:val="22"/>
          <w:lang w:eastAsia="en-US"/>
        </w:rPr>
        <w:t>Occasional Use Notice (OUN)</w:t>
      </w:r>
    </w:p>
    <w:p w14:paraId="44B25808" w14:textId="77777777" w:rsidR="009B1E82" w:rsidRDefault="009B1E82" w:rsidP="008D6739">
      <w:pPr>
        <w:rPr>
          <w:rFonts w:eastAsia="Calibri" w:cs="Arial"/>
          <w:szCs w:val="22"/>
          <w:lang w:eastAsia="en-US"/>
        </w:rPr>
      </w:pPr>
      <w:r w:rsidRPr="009B1E82">
        <w:rPr>
          <w:rFonts w:eastAsia="Calibri" w:cs="Arial"/>
          <w:szCs w:val="22"/>
          <w:lang w:eastAsia="en-US"/>
        </w:rPr>
        <w:lastRenderedPageBreak/>
        <w:t xml:space="preserve">The Licensing Authority has very little discretion as regards these notices aside from ensuring that the statutory limit of 8 days in a calendar year is not exceeded. The Licensing Authority will need to consider the definition of a ‘track’ and whether the applicant is permitted to avail him/herself of the notice. </w:t>
      </w:r>
    </w:p>
    <w:p w14:paraId="08E8038D" w14:textId="77777777" w:rsidR="005C073D" w:rsidRPr="009B1E82" w:rsidRDefault="005C073D" w:rsidP="008D6739">
      <w:pPr>
        <w:rPr>
          <w:rFonts w:eastAsia="Calibri" w:cs="Arial"/>
          <w:szCs w:val="22"/>
          <w:lang w:eastAsia="en-US"/>
        </w:rPr>
      </w:pPr>
    </w:p>
    <w:p w14:paraId="47DCE721" w14:textId="77777777" w:rsidR="009B1E82" w:rsidRPr="009B1E82" w:rsidRDefault="005C073D" w:rsidP="008D6739">
      <w:pPr>
        <w:rPr>
          <w:rFonts w:eastAsia="Calibri" w:cs="Arial"/>
          <w:szCs w:val="22"/>
          <w:lang w:eastAsia="en-US"/>
        </w:rPr>
      </w:pPr>
      <w:r>
        <w:rPr>
          <w:rFonts w:eastAsia="Calibri" w:cs="Arial"/>
          <w:b/>
          <w:bCs/>
          <w:szCs w:val="22"/>
          <w:lang w:eastAsia="en-US"/>
        </w:rPr>
        <w:t>Travelling Fairs</w:t>
      </w:r>
      <w:r w:rsidR="009B1E82" w:rsidRPr="009B1E82">
        <w:rPr>
          <w:rFonts w:eastAsia="Calibri" w:cs="Arial"/>
          <w:b/>
          <w:bCs/>
          <w:szCs w:val="22"/>
          <w:lang w:eastAsia="en-US"/>
        </w:rPr>
        <w:t xml:space="preserve"> </w:t>
      </w:r>
    </w:p>
    <w:p w14:paraId="009BAB98"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It will fall to the Licensing Authority to decide whether, where category D machines and/or equal chance prize gaming without a permit are to be made available for use at travelling fairs </w:t>
      </w:r>
      <w:r w:rsidR="00513C06">
        <w:rPr>
          <w:rFonts w:eastAsia="Calibri" w:cs="Arial"/>
          <w:szCs w:val="22"/>
          <w:lang w:eastAsia="en-US"/>
        </w:rPr>
        <w:t xml:space="preserve">and that </w:t>
      </w:r>
      <w:r w:rsidRPr="009B1E82">
        <w:rPr>
          <w:rFonts w:eastAsia="Calibri" w:cs="Arial"/>
          <w:szCs w:val="22"/>
          <w:lang w:eastAsia="en-US"/>
        </w:rPr>
        <w:t>the statutory requirement</w:t>
      </w:r>
      <w:r w:rsidR="00513C06">
        <w:rPr>
          <w:rFonts w:eastAsia="Calibri" w:cs="Arial"/>
          <w:szCs w:val="22"/>
          <w:lang w:eastAsia="en-US"/>
        </w:rPr>
        <w:t>,</w:t>
      </w:r>
      <w:r w:rsidRPr="009B1E82">
        <w:rPr>
          <w:rFonts w:eastAsia="Calibri" w:cs="Arial"/>
          <w:szCs w:val="22"/>
          <w:lang w:eastAsia="en-US"/>
        </w:rPr>
        <w:t xml:space="preserve"> t</w:t>
      </w:r>
      <w:r w:rsidR="00513C06">
        <w:rPr>
          <w:rFonts w:eastAsia="Calibri" w:cs="Arial"/>
          <w:szCs w:val="22"/>
          <w:lang w:eastAsia="en-US"/>
        </w:rPr>
        <w:t xml:space="preserve">hat the facilities for gambling </w:t>
      </w:r>
      <w:r w:rsidRPr="009B1E82">
        <w:rPr>
          <w:rFonts w:eastAsia="Calibri" w:cs="Arial"/>
          <w:szCs w:val="22"/>
          <w:lang w:eastAsia="en-US"/>
        </w:rPr>
        <w:t>amount to no more than an ancillary amusement at the fair</w:t>
      </w:r>
      <w:r w:rsidR="00513C06">
        <w:rPr>
          <w:rFonts w:eastAsia="Calibri" w:cs="Arial"/>
          <w:szCs w:val="22"/>
          <w:lang w:eastAsia="en-US"/>
        </w:rPr>
        <w:t>,</w:t>
      </w:r>
      <w:r w:rsidRPr="009B1E82">
        <w:rPr>
          <w:rFonts w:eastAsia="Calibri" w:cs="Arial"/>
          <w:szCs w:val="22"/>
          <w:lang w:eastAsia="en-US"/>
        </w:rPr>
        <w:t xml:space="preserve"> is met. </w:t>
      </w:r>
    </w:p>
    <w:p w14:paraId="6F128815" w14:textId="77777777" w:rsidR="009B1E82" w:rsidRDefault="009B1E82" w:rsidP="008D6739">
      <w:pPr>
        <w:rPr>
          <w:rFonts w:eastAsia="Calibri" w:cs="Arial"/>
          <w:szCs w:val="22"/>
          <w:lang w:eastAsia="en-US"/>
        </w:rPr>
      </w:pPr>
      <w:r w:rsidRPr="009B1E82">
        <w:rPr>
          <w:rFonts w:eastAsia="Calibri" w:cs="Arial"/>
          <w:szCs w:val="22"/>
          <w:lang w:eastAsia="en-US"/>
        </w:rPr>
        <w:t xml:space="preserve">The Licensing Authority will also consider whether the applicant falls within the statutory definition of a travelling fair. </w:t>
      </w:r>
    </w:p>
    <w:p w14:paraId="34FB91BB" w14:textId="77777777" w:rsidR="00A97FF0" w:rsidRPr="009B1E82" w:rsidRDefault="00A97FF0" w:rsidP="008D6739">
      <w:pPr>
        <w:rPr>
          <w:rFonts w:eastAsia="Calibri" w:cs="Arial"/>
          <w:szCs w:val="22"/>
          <w:lang w:eastAsia="en-US"/>
        </w:rPr>
      </w:pPr>
    </w:p>
    <w:p w14:paraId="32127AF1" w14:textId="77777777" w:rsidR="009B1E82" w:rsidRPr="009B1E82" w:rsidRDefault="009B1E82" w:rsidP="008D6739">
      <w:pPr>
        <w:rPr>
          <w:rFonts w:eastAsia="Calibri" w:cs="Arial"/>
          <w:szCs w:val="22"/>
          <w:lang w:eastAsia="en-US"/>
        </w:rPr>
      </w:pPr>
      <w:r w:rsidRPr="009B1E82">
        <w:rPr>
          <w:rFonts w:eastAsia="Calibri" w:cs="Arial"/>
          <w:szCs w:val="22"/>
          <w:lang w:eastAsia="en-US"/>
        </w:rPr>
        <w:t xml:space="preserve">It has been noted that the 27-day statutory maximum for the land being used as a fair, is per calendar year and that it applies to the piece of land on which the fairs are held, regardless of whether it is the same or different travelling fairs occupying the land. This Licensing Authority will work with its neighbouring authorities to ensure that land which crosses its boundaries is monitored so that the statutory limits are not exceeded. </w:t>
      </w:r>
    </w:p>
    <w:p w14:paraId="0A033862" w14:textId="77777777" w:rsidR="00AF1C9B" w:rsidRDefault="00AF1C9B" w:rsidP="008D6739">
      <w:pPr>
        <w:jc w:val="both"/>
        <w:rPr>
          <w:rFonts w:cs="Tahoma"/>
          <w:b/>
          <w:bCs/>
        </w:rPr>
      </w:pPr>
    </w:p>
    <w:p w14:paraId="3896D05C" w14:textId="77777777" w:rsidR="00AF1C9B" w:rsidRPr="007E7C58" w:rsidRDefault="00AF1C9B" w:rsidP="008D6739">
      <w:pPr>
        <w:rPr>
          <w:rFonts w:cs="Arial"/>
          <w:szCs w:val="22"/>
        </w:rPr>
      </w:pPr>
    </w:p>
    <w:p w14:paraId="0CC41B36" w14:textId="77777777" w:rsidR="00A73C7B" w:rsidRDefault="00AF1C9B" w:rsidP="008D6739">
      <w:pPr>
        <w:pStyle w:val="Header"/>
        <w:tabs>
          <w:tab w:val="clear" w:pos="4153"/>
          <w:tab w:val="clear" w:pos="8306"/>
        </w:tabs>
        <w:jc w:val="right"/>
        <w:rPr>
          <w:rFonts w:cs="Tahoma"/>
          <w:b/>
          <w:bCs/>
          <w:color w:val="FF00FF"/>
        </w:rPr>
      </w:pPr>
      <w:r w:rsidRPr="00A87BFE">
        <w:rPr>
          <w:rFonts w:cs="Tahoma"/>
          <w:b/>
          <w:bCs/>
          <w:color w:val="FF00FF"/>
        </w:rPr>
        <w:br w:type="page"/>
      </w:r>
    </w:p>
    <w:p w14:paraId="5A54AC86" w14:textId="77777777" w:rsidR="00A73C7B" w:rsidRDefault="00A73C7B" w:rsidP="009A497E">
      <w:pPr>
        <w:pStyle w:val="Heading2"/>
      </w:pPr>
      <w:r>
        <w:lastRenderedPageBreak/>
        <w:t>Appendix 3</w:t>
      </w:r>
    </w:p>
    <w:p w14:paraId="7D6B7C93" w14:textId="77777777" w:rsidR="00A73C7B" w:rsidRDefault="00A73C7B" w:rsidP="00A73C7B">
      <w:pPr>
        <w:rPr>
          <w:rFonts w:cs="Tahoma"/>
          <w:b/>
          <w:bCs/>
        </w:rPr>
      </w:pPr>
    </w:p>
    <w:p w14:paraId="1F9702D3" w14:textId="77777777" w:rsidR="00A73C7B" w:rsidRPr="009A497E" w:rsidRDefault="00A73C7B" w:rsidP="009A497E">
      <w:pPr>
        <w:pStyle w:val="Heading3"/>
        <w:rPr>
          <w:b/>
          <w:bCs/>
          <w:u w:val="none"/>
        </w:rPr>
      </w:pPr>
      <w:r w:rsidRPr="009A497E">
        <w:rPr>
          <w:b/>
          <w:bCs/>
          <w:u w:val="none"/>
        </w:rPr>
        <w:t>Small Society Lotteries</w:t>
      </w:r>
    </w:p>
    <w:p w14:paraId="7F541005" w14:textId="77777777" w:rsidR="00A73C7B" w:rsidRDefault="00A73C7B" w:rsidP="00A73C7B">
      <w:pPr>
        <w:rPr>
          <w:rFonts w:cs="Tahoma"/>
          <w:b/>
          <w:bCs/>
        </w:rPr>
      </w:pPr>
    </w:p>
    <w:p w14:paraId="56F798EF" w14:textId="77777777" w:rsidR="00A73C7B" w:rsidRDefault="00A73C7B" w:rsidP="00A73C7B">
      <w:pPr>
        <w:rPr>
          <w:rFonts w:cs="Tahoma"/>
          <w:bCs/>
        </w:rPr>
      </w:pPr>
      <w:r>
        <w:rPr>
          <w:rFonts w:cs="Tahoma"/>
          <w:bCs/>
        </w:rPr>
        <w:t>Under the Gambling Act 2005 a lottery is unlawful unless it runs under an operating licence or is an exempt lottery.</w:t>
      </w:r>
    </w:p>
    <w:p w14:paraId="73B2F23F" w14:textId="77777777" w:rsidR="00A73C7B" w:rsidRDefault="00A73C7B" w:rsidP="00A73C7B">
      <w:pPr>
        <w:rPr>
          <w:rFonts w:cs="Tahoma"/>
          <w:bCs/>
        </w:rPr>
      </w:pPr>
    </w:p>
    <w:p w14:paraId="33044A88" w14:textId="77777777" w:rsidR="00A73C7B" w:rsidRDefault="00A73C7B" w:rsidP="00A73C7B">
      <w:pPr>
        <w:rPr>
          <w:rFonts w:cs="Tahoma"/>
          <w:bCs/>
        </w:rPr>
      </w:pPr>
      <w:r>
        <w:rPr>
          <w:rFonts w:cs="Tahoma"/>
          <w:bCs/>
        </w:rPr>
        <w:t>Promoting or facilitating a lottery will fall into two categories:</w:t>
      </w:r>
    </w:p>
    <w:p w14:paraId="46AC0FC2" w14:textId="77777777" w:rsidR="00A73C7B" w:rsidRDefault="00A73C7B" w:rsidP="00A73C7B">
      <w:pPr>
        <w:rPr>
          <w:rFonts w:cs="Tahoma"/>
          <w:bCs/>
        </w:rPr>
      </w:pPr>
    </w:p>
    <w:p w14:paraId="51E562D6" w14:textId="77777777" w:rsidR="00A73C7B" w:rsidRDefault="00A73C7B" w:rsidP="00A73C7B">
      <w:pPr>
        <w:pStyle w:val="ListParagraph"/>
        <w:numPr>
          <w:ilvl w:val="0"/>
          <w:numId w:val="30"/>
        </w:numPr>
        <w:rPr>
          <w:rFonts w:cs="Tahoma"/>
          <w:bCs/>
        </w:rPr>
      </w:pPr>
      <w:r>
        <w:rPr>
          <w:rFonts w:cs="Tahoma"/>
          <w:bCs/>
        </w:rPr>
        <w:t>Licensed lotteries (requiring an operating licence from the Gambling Commission)</w:t>
      </w:r>
    </w:p>
    <w:p w14:paraId="680D9204" w14:textId="77777777" w:rsidR="00A73C7B" w:rsidRDefault="00A73C7B" w:rsidP="00A73C7B">
      <w:pPr>
        <w:pStyle w:val="ListParagraph"/>
        <w:numPr>
          <w:ilvl w:val="0"/>
          <w:numId w:val="30"/>
        </w:numPr>
        <w:rPr>
          <w:rFonts w:cs="Tahoma"/>
          <w:bCs/>
        </w:rPr>
      </w:pPr>
      <w:r>
        <w:rPr>
          <w:rFonts w:cs="Tahoma"/>
          <w:bCs/>
        </w:rPr>
        <w:t>Exempt lotteries (including small society lotteries registered with a local authority)</w:t>
      </w:r>
    </w:p>
    <w:p w14:paraId="6BA7A155" w14:textId="77777777" w:rsidR="00A73C7B" w:rsidRDefault="00BE4C12" w:rsidP="00A73C7B">
      <w:pPr>
        <w:rPr>
          <w:rFonts w:cs="Tahoma"/>
          <w:bCs/>
        </w:rPr>
      </w:pPr>
      <w:r>
        <w:rPr>
          <w:rFonts w:cs="Tahoma"/>
          <w:bCs/>
        </w:rPr>
        <w:t>Ex</w:t>
      </w:r>
      <w:r w:rsidR="00A73C7B">
        <w:rPr>
          <w:rFonts w:cs="Tahoma"/>
          <w:bCs/>
        </w:rPr>
        <w:t>empt lotteries are lotteries permitted to run without a licence from the Gambling Commission and are defin</w:t>
      </w:r>
      <w:r>
        <w:rPr>
          <w:rFonts w:cs="Tahoma"/>
          <w:bCs/>
        </w:rPr>
        <w:t>ed as:</w:t>
      </w:r>
    </w:p>
    <w:p w14:paraId="18E519B7" w14:textId="77777777" w:rsidR="00BE4C12" w:rsidRDefault="00BE4C12" w:rsidP="00A73C7B">
      <w:pPr>
        <w:rPr>
          <w:rFonts w:cs="Tahoma"/>
          <w:bCs/>
        </w:rPr>
      </w:pPr>
    </w:p>
    <w:p w14:paraId="2818413F" w14:textId="77777777" w:rsidR="00BE4C12" w:rsidRDefault="00BE4C12" w:rsidP="00BE4C12">
      <w:pPr>
        <w:pStyle w:val="ListParagraph"/>
        <w:numPr>
          <w:ilvl w:val="0"/>
          <w:numId w:val="31"/>
        </w:numPr>
        <w:rPr>
          <w:rFonts w:cs="Tahoma"/>
          <w:bCs/>
        </w:rPr>
      </w:pPr>
      <w:r>
        <w:rPr>
          <w:rFonts w:cs="Tahoma"/>
          <w:bCs/>
        </w:rPr>
        <w:t xml:space="preserve">Small society </w:t>
      </w:r>
      <w:proofErr w:type="gramStart"/>
      <w:r>
        <w:rPr>
          <w:rFonts w:cs="Tahoma"/>
          <w:bCs/>
        </w:rPr>
        <w:t>lotteries;</w:t>
      </w:r>
      <w:proofErr w:type="gramEnd"/>
    </w:p>
    <w:p w14:paraId="458BD777" w14:textId="77777777" w:rsidR="00BE4C12" w:rsidRDefault="00BE4C12" w:rsidP="00BE4C12">
      <w:pPr>
        <w:pStyle w:val="ListParagraph"/>
        <w:numPr>
          <w:ilvl w:val="0"/>
          <w:numId w:val="31"/>
        </w:numPr>
        <w:rPr>
          <w:rFonts w:cs="Tahoma"/>
          <w:bCs/>
        </w:rPr>
      </w:pPr>
      <w:r>
        <w:rPr>
          <w:rFonts w:cs="Tahoma"/>
          <w:bCs/>
        </w:rPr>
        <w:t xml:space="preserve">Incidental non-commercial </w:t>
      </w:r>
      <w:proofErr w:type="gramStart"/>
      <w:r>
        <w:rPr>
          <w:rFonts w:cs="Tahoma"/>
          <w:bCs/>
        </w:rPr>
        <w:t>lotteries;</w:t>
      </w:r>
      <w:proofErr w:type="gramEnd"/>
    </w:p>
    <w:p w14:paraId="20D5D84F" w14:textId="77777777" w:rsidR="00BE4C12" w:rsidRDefault="00BE4C12" w:rsidP="00BE4C12">
      <w:pPr>
        <w:pStyle w:val="ListParagraph"/>
        <w:numPr>
          <w:ilvl w:val="0"/>
          <w:numId w:val="31"/>
        </w:numPr>
        <w:rPr>
          <w:rFonts w:cs="Tahoma"/>
          <w:bCs/>
        </w:rPr>
      </w:pPr>
      <w:r>
        <w:rPr>
          <w:rFonts w:cs="Tahoma"/>
          <w:bCs/>
        </w:rPr>
        <w:t xml:space="preserve">Private </w:t>
      </w:r>
      <w:proofErr w:type="gramStart"/>
      <w:r>
        <w:rPr>
          <w:rFonts w:cs="Tahoma"/>
          <w:bCs/>
        </w:rPr>
        <w:t>lotteries;</w:t>
      </w:r>
      <w:proofErr w:type="gramEnd"/>
    </w:p>
    <w:p w14:paraId="46D80DA4" w14:textId="77777777" w:rsidR="00BE4C12" w:rsidRDefault="00BE4C12" w:rsidP="00BE4C12">
      <w:pPr>
        <w:pStyle w:val="ListParagraph"/>
        <w:numPr>
          <w:ilvl w:val="0"/>
          <w:numId w:val="31"/>
        </w:numPr>
        <w:rPr>
          <w:rFonts w:cs="Tahoma"/>
          <w:bCs/>
        </w:rPr>
      </w:pPr>
      <w:r>
        <w:rPr>
          <w:rFonts w:cs="Tahoma"/>
          <w:bCs/>
        </w:rPr>
        <w:t xml:space="preserve">Private society </w:t>
      </w:r>
      <w:proofErr w:type="gramStart"/>
      <w:r>
        <w:rPr>
          <w:rFonts w:cs="Tahoma"/>
          <w:bCs/>
        </w:rPr>
        <w:t>lottery;</w:t>
      </w:r>
      <w:proofErr w:type="gramEnd"/>
    </w:p>
    <w:p w14:paraId="6990163B" w14:textId="77777777" w:rsidR="00BE4C12" w:rsidRDefault="00BE4C12" w:rsidP="00BE4C12">
      <w:pPr>
        <w:pStyle w:val="ListParagraph"/>
        <w:numPr>
          <w:ilvl w:val="0"/>
          <w:numId w:val="31"/>
        </w:numPr>
        <w:rPr>
          <w:rFonts w:cs="Tahoma"/>
          <w:bCs/>
        </w:rPr>
      </w:pPr>
      <w:r>
        <w:rPr>
          <w:rFonts w:cs="Tahoma"/>
          <w:bCs/>
        </w:rPr>
        <w:t xml:space="preserve">Work </w:t>
      </w:r>
      <w:proofErr w:type="gramStart"/>
      <w:r>
        <w:rPr>
          <w:rFonts w:cs="Tahoma"/>
          <w:bCs/>
        </w:rPr>
        <w:t>lottery;</w:t>
      </w:r>
      <w:proofErr w:type="gramEnd"/>
    </w:p>
    <w:p w14:paraId="57B1C47A" w14:textId="77777777" w:rsidR="00BE4C12" w:rsidRDefault="00BE4C12" w:rsidP="00BE4C12">
      <w:pPr>
        <w:pStyle w:val="ListParagraph"/>
        <w:numPr>
          <w:ilvl w:val="0"/>
          <w:numId w:val="31"/>
        </w:numPr>
        <w:rPr>
          <w:rFonts w:cs="Tahoma"/>
          <w:bCs/>
        </w:rPr>
      </w:pPr>
      <w:r>
        <w:rPr>
          <w:rFonts w:cs="Tahoma"/>
          <w:bCs/>
        </w:rPr>
        <w:t xml:space="preserve">Resident’ </w:t>
      </w:r>
      <w:proofErr w:type="gramStart"/>
      <w:r>
        <w:rPr>
          <w:rFonts w:cs="Tahoma"/>
          <w:bCs/>
        </w:rPr>
        <w:t>lottery;</w:t>
      </w:r>
      <w:proofErr w:type="gramEnd"/>
    </w:p>
    <w:p w14:paraId="59CB5D80" w14:textId="77777777" w:rsidR="00BE4C12" w:rsidRDefault="00BE4C12" w:rsidP="00BE4C12">
      <w:pPr>
        <w:pStyle w:val="ListParagraph"/>
        <w:numPr>
          <w:ilvl w:val="0"/>
          <w:numId w:val="31"/>
        </w:numPr>
        <w:rPr>
          <w:rFonts w:cs="Tahoma"/>
          <w:bCs/>
        </w:rPr>
      </w:pPr>
      <w:r>
        <w:rPr>
          <w:rFonts w:cs="Tahoma"/>
          <w:bCs/>
        </w:rPr>
        <w:t>Customers’ lottery.</w:t>
      </w:r>
    </w:p>
    <w:p w14:paraId="69CEE7E4" w14:textId="77777777" w:rsidR="00BE4C12" w:rsidRDefault="00BE4C12" w:rsidP="00BE4C12">
      <w:pPr>
        <w:rPr>
          <w:rFonts w:cs="Tahoma"/>
          <w:bCs/>
        </w:rPr>
      </w:pPr>
      <w:r>
        <w:rPr>
          <w:rFonts w:cs="Tahoma"/>
          <w:bCs/>
        </w:rPr>
        <w:t>Advice regarding the definitions of the above exempt lotteries is available from the Gambling Commission website.</w:t>
      </w:r>
    </w:p>
    <w:p w14:paraId="41A3015A" w14:textId="77777777" w:rsidR="00BE4C12" w:rsidRPr="00BE4C12" w:rsidRDefault="00BE4C12" w:rsidP="00BE4C12">
      <w:pPr>
        <w:rPr>
          <w:rFonts w:cs="Arial"/>
          <w:bCs/>
          <w:szCs w:val="22"/>
        </w:rPr>
      </w:pPr>
    </w:p>
    <w:p w14:paraId="2577A646" w14:textId="77777777" w:rsidR="00BE4C12" w:rsidRPr="00BE4C12" w:rsidRDefault="00BE4C12" w:rsidP="00BE4C12">
      <w:pPr>
        <w:rPr>
          <w:rFonts w:eastAsiaTheme="minorHAnsi" w:cs="Arial"/>
          <w:szCs w:val="22"/>
        </w:rPr>
      </w:pPr>
      <w:r w:rsidRPr="00BE4C12">
        <w:rPr>
          <w:rFonts w:cs="Arial"/>
          <w:szCs w:val="22"/>
        </w:rPr>
        <w:t xml:space="preserve">All tickets in a small society lottery registered with a local authority must state: </w:t>
      </w:r>
    </w:p>
    <w:p w14:paraId="7A329754" w14:textId="77777777" w:rsidR="00BE4C12" w:rsidRPr="00BE4C12" w:rsidRDefault="00BE4C12" w:rsidP="00BE4C12">
      <w:pPr>
        <w:numPr>
          <w:ilvl w:val="0"/>
          <w:numId w:val="32"/>
        </w:numPr>
        <w:shd w:val="clear" w:color="auto" w:fill="FFFFFF"/>
        <w:spacing w:before="100" w:beforeAutospacing="1" w:after="100" w:afterAutospacing="1"/>
        <w:ind w:left="1560"/>
        <w:rPr>
          <w:rFonts w:cs="Arial"/>
          <w:color w:val="0B0C0C"/>
          <w:szCs w:val="22"/>
        </w:rPr>
      </w:pPr>
      <w:r w:rsidRPr="00BE4C12">
        <w:rPr>
          <w:rFonts w:cs="Arial"/>
          <w:color w:val="0B0C0C"/>
          <w:szCs w:val="22"/>
        </w:rPr>
        <w:t xml:space="preserve">The name of the promoting </w:t>
      </w:r>
      <w:proofErr w:type="gramStart"/>
      <w:r w:rsidRPr="00BE4C12">
        <w:rPr>
          <w:rFonts w:cs="Arial"/>
          <w:color w:val="0B0C0C"/>
          <w:szCs w:val="22"/>
        </w:rPr>
        <w:t>society;</w:t>
      </w:r>
      <w:proofErr w:type="gramEnd"/>
    </w:p>
    <w:p w14:paraId="01E471CC" w14:textId="77777777" w:rsidR="00BE4C12" w:rsidRPr="00BE4C12" w:rsidRDefault="00BE4C12" w:rsidP="00BE4C12">
      <w:pPr>
        <w:numPr>
          <w:ilvl w:val="0"/>
          <w:numId w:val="32"/>
        </w:numPr>
        <w:shd w:val="clear" w:color="auto" w:fill="FFFFFF"/>
        <w:spacing w:before="100" w:beforeAutospacing="1" w:after="100" w:afterAutospacing="1"/>
        <w:ind w:left="1560"/>
        <w:rPr>
          <w:rFonts w:cs="Arial"/>
          <w:color w:val="0B0C0C"/>
          <w:szCs w:val="22"/>
        </w:rPr>
      </w:pPr>
      <w:r w:rsidRPr="00BE4C12">
        <w:rPr>
          <w:rFonts w:cs="Arial"/>
          <w:color w:val="0B0C0C"/>
          <w:szCs w:val="22"/>
        </w:rPr>
        <w:t>The price of the ticket, (which must be the same for all tickets</w:t>
      </w:r>
      <w:proofErr w:type="gramStart"/>
      <w:r w:rsidRPr="00BE4C12">
        <w:rPr>
          <w:rFonts w:cs="Arial"/>
          <w:color w:val="0B0C0C"/>
          <w:szCs w:val="22"/>
        </w:rPr>
        <w:t>);</w:t>
      </w:r>
      <w:proofErr w:type="gramEnd"/>
    </w:p>
    <w:p w14:paraId="33EE5163" w14:textId="77777777" w:rsidR="00BE4C12" w:rsidRPr="00BE4C12" w:rsidRDefault="00BE4C12" w:rsidP="00BE4C12">
      <w:pPr>
        <w:numPr>
          <w:ilvl w:val="0"/>
          <w:numId w:val="32"/>
        </w:numPr>
        <w:shd w:val="clear" w:color="auto" w:fill="FFFFFF"/>
        <w:spacing w:before="100" w:beforeAutospacing="1" w:after="100" w:afterAutospacing="1"/>
        <w:ind w:left="1560"/>
        <w:rPr>
          <w:rFonts w:cs="Arial"/>
          <w:color w:val="0B0C0C"/>
          <w:szCs w:val="22"/>
        </w:rPr>
      </w:pPr>
      <w:r w:rsidRPr="00BE4C12">
        <w:rPr>
          <w:rFonts w:cs="Arial"/>
          <w:color w:val="0B0C0C"/>
          <w:szCs w:val="22"/>
        </w:rPr>
        <w:t>The name and address of the member of the society who is designated as having responsibility at the society for promoting small lotteries; and</w:t>
      </w:r>
    </w:p>
    <w:p w14:paraId="58B5183C" w14:textId="77777777" w:rsidR="00BE4C12" w:rsidRPr="00BE4C12" w:rsidRDefault="00BE4C12" w:rsidP="00BE4C12">
      <w:pPr>
        <w:numPr>
          <w:ilvl w:val="0"/>
          <w:numId w:val="32"/>
        </w:numPr>
        <w:shd w:val="clear" w:color="auto" w:fill="FFFFFF"/>
        <w:spacing w:before="100" w:beforeAutospacing="1" w:after="100" w:afterAutospacing="1"/>
        <w:ind w:left="1560"/>
        <w:rPr>
          <w:rFonts w:cs="Arial"/>
          <w:color w:val="0B0C0C"/>
          <w:szCs w:val="22"/>
        </w:rPr>
      </w:pPr>
      <w:r w:rsidRPr="00BE4C12">
        <w:rPr>
          <w:rFonts w:cs="Arial"/>
          <w:color w:val="0B0C0C"/>
          <w:szCs w:val="22"/>
        </w:rPr>
        <w:t>The date of the draw, or information which enables the date to be determined.</w:t>
      </w:r>
    </w:p>
    <w:p w14:paraId="366F9B67" w14:textId="77777777" w:rsidR="00BE4C12" w:rsidRPr="00BE4C12" w:rsidRDefault="00BE4C12" w:rsidP="00BE4C12">
      <w:pPr>
        <w:rPr>
          <w:rFonts w:cs="Arial"/>
          <w:szCs w:val="22"/>
        </w:rPr>
      </w:pPr>
      <w:r w:rsidRPr="00BE4C12">
        <w:rPr>
          <w:rFonts w:cs="Arial"/>
          <w:szCs w:val="22"/>
        </w:rPr>
        <w:t xml:space="preserve">Tickets that are issued through a form of remote communication or any other electronic manner must specify the information above to the purchaser of the ticket and ensure that the message can be either retained (saved) or printed. </w:t>
      </w:r>
    </w:p>
    <w:p w14:paraId="72A97D94" w14:textId="77777777" w:rsidR="00BE4C12" w:rsidRPr="00BE4C12" w:rsidRDefault="00BE4C12" w:rsidP="00BE4C12">
      <w:pPr>
        <w:ind w:left="567"/>
        <w:rPr>
          <w:rFonts w:cs="Arial"/>
          <w:szCs w:val="22"/>
        </w:rPr>
      </w:pPr>
    </w:p>
    <w:p w14:paraId="6B439BB0" w14:textId="77777777" w:rsidR="00BE4C12" w:rsidRPr="00BE4C12" w:rsidRDefault="00BE4C12" w:rsidP="00BE4C12">
      <w:pPr>
        <w:rPr>
          <w:rFonts w:cs="Arial"/>
          <w:szCs w:val="22"/>
        </w:rPr>
      </w:pPr>
      <w:r w:rsidRPr="00BE4C12">
        <w:rPr>
          <w:rFonts w:cs="Arial"/>
          <w:szCs w:val="22"/>
        </w:rPr>
        <w:t>Lottery tickets must not be sold to, or by, those under the age of 16.</w:t>
      </w:r>
    </w:p>
    <w:p w14:paraId="1BB891C5" w14:textId="77777777" w:rsidR="00BE4C12" w:rsidRPr="00BE4C12" w:rsidRDefault="00BE4C12" w:rsidP="00BE4C12">
      <w:pPr>
        <w:shd w:val="clear" w:color="auto" w:fill="FFFFFF"/>
        <w:spacing w:before="100" w:beforeAutospacing="1" w:after="100" w:afterAutospacing="1"/>
        <w:rPr>
          <w:rFonts w:cs="Arial"/>
          <w:color w:val="0B0C0C"/>
          <w:szCs w:val="22"/>
        </w:rPr>
      </w:pPr>
      <w:r w:rsidRPr="00BE4C12">
        <w:rPr>
          <w:rFonts w:cs="Arial"/>
          <w:color w:val="0B0C0C"/>
          <w:szCs w:val="22"/>
        </w:rPr>
        <w:t xml:space="preserve">Small Society Lottery tickets must not be sold to a person in any street. For these purposes ‘street’ includes any bridge, road, lane, footway, subway, square, court, </w:t>
      </w:r>
      <w:proofErr w:type="gramStart"/>
      <w:r w:rsidRPr="00BE4C12">
        <w:rPr>
          <w:rFonts w:cs="Arial"/>
          <w:color w:val="0B0C0C"/>
          <w:szCs w:val="22"/>
        </w:rPr>
        <w:t>alley</w:t>
      </w:r>
      <w:proofErr w:type="gramEnd"/>
      <w:r w:rsidRPr="00BE4C12">
        <w:rPr>
          <w:rFonts w:cs="Arial"/>
          <w:color w:val="0B0C0C"/>
          <w:szCs w:val="22"/>
        </w:rPr>
        <w:t xml:space="preserve"> or passage (including passages through enclosed premises such as shopping malls) whether a thoroughfare or not. Tickets may, however, be sold in a street from a static structure s</w:t>
      </w:r>
      <w:r>
        <w:rPr>
          <w:rFonts w:cs="Arial"/>
          <w:color w:val="0B0C0C"/>
          <w:szCs w:val="22"/>
        </w:rPr>
        <w:t>uch as a kiosk or display stand.</w:t>
      </w:r>
    </w:p>
    <w:p w14:paraId="12BCFC86" w14:textId="77777777" w:rsidR="00BE4C12" w:rsidRPr="00BE4C12" w:rsidRDefault="00BE4C12" w:rsidP="00BE4C12">
      <w:pPr>
        <w:pStyle w:val="BodyText"/>
        <w:spacing w:before="3"/>
        <w:rPr>
          <w:rFonts w:ascii="Arial" w:hAnsi="Arial" w:cs="Arial"/>
          <w:sz w:val="22"/>
          <w:szCs w:val="22"/>
        </w:rPr>
      </w:pPr>
    </w:p>
    <w:p w14:paraId="77305EDE" w14:textId="77777777" w:rsidR="00BE4C12" w:rsidRPr="00BE4C12" w:rsidRDefault="00BE4C12" w:rsidP="00BE4C12">
      <w:pPr>
        <w:pStyle w:val="BodyText"/>
        <w:spacing w:before="3"/>
        <w:rPr>
          <w:rFonts w:ascii="Arial" w:hAnsi="Arial" w:cs="Arial"/>
          <w:sz w:val="22"/>
          <w:szCs w:val="22"/>
        </w:rPr>
      </w:pPr>
      <w:r w:rsidRPr="00BE4C12">
        <w:rPr>
          <w:rFonts w:ascii="Arial" w:hAnsi="Arial" w:cs="Arial"/>
          <w:sz w:val="22"/>
          <w:szCs w:val="22"/>
        </w:rPr>
        <w:lastRenderedPageBreak/>
        <w:t xml:space="preserve">The Gambling Commission’s Guidance notes that licensing authorities may only refuse </w:t>
      </w:r>
      <w:r w:rsidRPr="00BE4C12">
        <w:rPr>
          <w:rFonts w:ascii="Arial" w:hAnsi="Arial" w:cs="Arial"/>
          <w:spacing w:val="16"/>
          <w:sz w:val="22"/>
          <w:szCs w:val="22"/>
        </w:rPr>
        <w:t>an</w:t>
      </w:r>
      <w:r>
        <w:rPr>
          <w:rFonts w:ascii="Arial" w:hAnsi="Arial" w:cs="Arial"/>
          <w:spacing w:val="81"/>
          <w:sz w:val="22"/>
          <w:szCs w:val="22"/>
        </w:rPr>
        <w:t xml:space="preserve"> </w:t>
      </w:r>
      <w:r w:rsidRPr="00BE4C12">
        <w:rPr>
          <w:rFonts w:ascii="Arial" w:hAnsi="Arial" w:cs="Arial"/>
          <w:sz w:val="22"/>
          <w:szCs w:val="22"/>
        </w:rPr>
        <w:t>application on the grounds that:</w:t>
      </w:r>
    </w:p>
    <w:p w14:paraId="15B461B6" w14:textId="77777777" w:rsidR="00BE4C12" w:rsidRPr="00BE4C12" w:rsidRDefault="00BE4C12" w:rsidP="00BE4C12">
      <w:pPr>
        <w:pStyle w:val="BodyText"/>
        <w:spacing w:before="3"/>
        <w:ind w:left="426"/>
        <w:rPr>
          <w:rFonts w:ascii="Arial" w:hAnsi="Arial" w:cs="Arial"/>
          <w:sz w:val="22"/>
          <w:szCs w:val="22"/>
        </w:rPr>
      </w:pPr>
    </w:p>
    <w:p w14:paraId="44154EB8" w14:textId="77777777" w:rsidR="00BE4C12" w:rsidRPr="00BE4C12" w:rsidRDefault="00BE4C12" w:rsidP="00BE4C12">
      <w:pPr>
        <w:pStyle w:val="BodyText"/>
        <w:widowControl w:val="0"/>
        <w:numPr>
          <w:ilvl w:val="0"/>
          <w:numId w:val="33"/>
        </w:numPr>
        <w:tabs>
          <w:tab w:val="clear" w:pos="1980"/>
        </w:tabs>
        <w:autoSpaceDE w:val="0"/>
        <w:autoSpaceDN w:val="0"/>
        <w:spacing w:before="3"/>
        <w:ind w:left="1701"/>
        <w:rPr>
          <w:rFonts w:ascii="Arial" w:hAnsi="Arial" w:cs="Arial"/>
          <w:sz w:val="22"/>
          <w:szCs w:val="22"/>
        </w:rPr>
      </w:pPr>
      <w:r w:rsidRPr="00BE4C12">
        <w:rPr>
          <w:rFonts w:ascii="Arial" w:hAnsi="Arial" w:cs="Arial"/>
          <w:sz w:val="22"/>
          <w:szCs w:val="22"/>
        </w:rPr>
        <w:t xml:space="preserve">An operating </w:t>
      </w:r>
      <w:proofErr w:type="spellStart"/>
      <w:r w:rsidRPr="00BE4C12">
        <w:rPr>
          <w:rFonts w:ascii="Arial" w:hAnsi="Arial" w:cs="Arial"/>
          <w:sz w:val="22"/>
          <w:szCs w:val="22"/>
        </w:rPr>
        <w:t>licence</w:t>
      </w:r>
      <w:proofErr w:type="spellEnd"/>
      <w:r w:rsidRPr="00BE4C12">
        <w:rPr>
          <w:rFonts w:ascii="Arial" w:hAnsi="Arial" w:cs="Arial"/>
          <w:sz w:val="22"/>
          <w:szCs w:val="22"/>
        </w:rPr>
        <w:t xml:space="preserve"> held by the applicant for registration has been revoked or an application for an operating </w:t>
      </w:r>
      <w:proofErr w:type="spellStart"/>
      <w:r w:rsidRPr="00BE4C12">
        <w:rPr>
          <w:rFonts w:ascii="Arial" w:hAnsi="Arial" w:cs="Arial"/>
          <w:sz w:val="22"/>
          <w:szCs w:val="22"/>
        </w:rPr>
        <w:t>licence</w:t>
      </w:r>
      <w:proofErr w:type="spellEnd"/>
      <w:r w:rsidRPr="00BE4C12">
        <w:rPr>
          <w:rFonts w:ascii="Arial" w:hAnsi="Arial" w:cs="Arial"/>
          <w:sz w:val="22"/>
          <w:szCs w:val="22"/>
        </w:rPr>
        <w:t xml:space="preserve"> made by the applicant for registration has been refused within the past five </w:t>
      </w:r>
      <w:proofErr w:type="gramStart"/>
      <w:r w:rsidRPr="00BE4C12">
        <w:rPr>
          <w:rFonts w:ascii="Arial" w:hAnsi="Arial" w:cs="Arial"/>
          <w:sz w:val="22"/>
          <w:szCs w:val="22"/>
        </w:rPr>
        <w:t>years;</w:t>
      </w:r>
      <w:proofErr w:type="gramEnd"/>
    </w:p>
    <w:p w14:paraId="0079CD40" w14:textId="77777777" w:rsidR="00BE4C12" w:rsidRPr="00BE4C12" w:rsidRDefault="00BE4C12" w:rsidP="00BE4C12">
      <w:pPr>
        <w:pStyle w:val="BodyText"/>
        <w:widowControl w:val="0"/>
        <w:numPr>
          <w:ilvl w:val="0"/>
          <w:numId w:val="33"/>
        </w:numPr>
        <w:tabs>
          <w:tab w:val="clear" w:pos="1980"/>
        </w:tabs>
        <w:autoSpaceDE w:val="0"/>
        <w:autoSpaceDN w:val="0"/>
        <w:spacing w:before="3"/>
        <w:ind w:left="1701"/>
        <w:rPr>
          <w:rFonts w:ascii="Arial" w:hAnsi="Arial" w:cs="Arial"/>
          <w:sz w:val="22"/>
          <w:szCs w:val="22"/>
        </w:rPr>
      </w:pPr>
      <w:r w:rsidRPr="00BE4C12">
        <w:rPr>
          <w:rFonts w:ascii="Arial" w:hAnsi="Arial" w:cs="Arial"/>
          <w:sz w:val="22"/>
          <w:szCs w:val="22"/>
        </w:rPr>
        <w:t xml:space="preserve">The society in question cannot be deemed </w:t>
      </w:r>
      <w:proofErr w:type="gramStart"/>
      <w:r w:rsidRPr="00BE4C12">
        <w:rPr>
          <w:rFonts w:ascii="Arial" w:hAnsi="Arial" w:cs="Arial"/>
          <w:sz w:val="22"/>
          <w:szCs w:val="22"/>
        </w:rPr>
        <w:t>non-commercial;</w:t>
      </w:r>
      <w:proofErr w:type="gramEnd"/>
    </w:p>
    <w:p w14:paraId="5BC3D302" w14:textId="77777777" w:rsidR="00BE4C12" w:rsidRPr="00BE4C12" w:rsidRDefault="00BE4C12" w:rsidP="00BE4C12">
      <w:pPr>
        <w:pStyle w:val="BodyText"/>
        <w:widowControl w:val="0"/>
        <w:numPr>
          <w:ilvl w:val="0"/>
          <w:numId w:val="33"/>
        </w:numPr>
        <w:tabs>
          <w:tab w:val="clear" w:pos="1980"/>
        </w:tabs>
        <w:autoSpaceDE w:val="0"/>
        <w:autoSpaceDN w:val="0"/>
        <w:spacing w:before="3"/>
        <w:ind w:left="1701"/>
        <w:rPr>
          <w:rFonts w:ascii="Arial" w:hAnsi="Arial" w:cs="Arial"/>
          <w:sz w:val="22"/>
          <w:szCs w:val="22"/>
        </w:rPr>
      </w:pPr>
      <w:r w:rsidRPr="00BE4C12">
        <w:rPr>
          <w:rFonts w:ascii="Arial" w:hAnsi="Arial" w:cs="Arial"/>
          <w:sz w:val="22"/>
          <w:szCs w:val="22"/>
        </w:rPr>
        <w:t xml:space="preserve">A person who will or may </w:t>
      </w:r>
      <w:proofErr w:type="gramStart"/>
      <w:r w:rsidRPr="00BE4C12">
        <w:rPr>
          <w:rFonts w:ascii="Arial" w:hAnsi="Arial" w:cs="Arial"/>
          <w:sz w:val="22"/>
          <w:szCs w:val="22"/>
        </w:rPr>
        <w:t>be connected with</w:t>
      </w:r>
      <w:proofErr w:type="gramEnd"/>
      <w:r w:rsidRPr="00BE4C12">
        <w:rPr>
          <w:rFonts w:ascii="Arial" w:hAnsi="Arial" w:cs="Arial"/>
          <w:sz w:val="22"/>
          <w:szCs w:val="22"/>
        </w:rPr>
        <w:t xml:space="preserve"> the promotion of the lottery has been convicted of a relevant offence, as listed in Schedule 7 of the Gambling Act 2005; and</w:t>
      </w:r>
    </w:p>
    <w:p w14:paraId="0282EDDD" w14:textId="77777777" w:rsidR="00BE4C12" w:rsidRPr="00BE4C12" w:rsidRDefault="00BE4C12" w:rsidP="00BE4C12">
      <w:pPr>
        <w:pStyle w:val="BodyText"/>
        <w:widowControl w:val="0"/>
        <w:numPr>
          <w:ilvl w:val="0"/>
          <w:numId w:val="33"/>
        </w:numPr>
        <w:tabs>
          <w:tab w:val="clear" w:pos="1980"/>
        </w:tabs>
        <w:autoSpaceDE w:val="0"/>
        <w:autoSpaceDN w:val="0"/>
        <w:spacing w:before="3"/>
        <w:ind w:left="1701"/>
        <w:rPr>
          <w:rFonts w:ascii="Arial" w:hAnsi="Arial" w:cs="Arial"/>
          <w:sz w:val="22"/>
          <w:szCs w:val="22"/>
        </w:rPr>
      </w:pPr>
      <w:r w:rsidRPr="00BE4C12">
        <w:rPr>
          <w:rFonts w:ascii="Arial" w:hAnsi="Arial" w:cs="Arial"/>
          <w:sz w:val="22"/>
          <w:szCs w:val="22"/>
        </w:rPr>
        <w:t>Information provided in or with the application for registration is found to be false or misleading.</w:t>
      </w:r>
    </w:p>
    <w:p w14:paraId="73EBF912" w14:textId="77777777" w:rsidR="00BE4C12" w:rsidRPr="00BE4C12" w:rsidRDefault="00BE4C12" w:rsidP="00BE4C12">
      <w:pPr>
        <w:pStyle w:val="BodyText"/>
        <w:spacing w:before="3"/>
        <w:rPr>
          <w:rFonts w:ascii="Arial" w:hAnsi="Arial" w:cs="Arial"/>
          <w:sz w:val="22"/>
          <w:szCs w:val="22"/>
        </w:rPr>
      </w:pPr>
    </w:p>
    <w:p w14:paraId="3EBF13D0" w14:textId="77777777" w:rsidR="00BE4C12" w:rsidRPr="00BE4C12" w:rsidRDefault="00BE4C12" w:rsidP="00BE4C12">
      <w:pPr>
        <w:pStyle w:val="BodyText"/>
        <w:spacing w:before="3"/>
        <w:rPr>
          <w:rFonts w:ascii="Arial" w:hAnsi="Arial" w:cs="Arial"/>
          <w:sz w:val="22"/>
          <w:szCs w:val="22"/>
        </w:rPr>
      </w:pPr>
      <w:r w:rsidRPr="00BE4C12">
        <w:rPr>
          <w:rFonts w:ascii="Arial" w:hAnsi="Arial" w:cs="Arial"/>
          <w:sz w:val="22"/>
          <w:szCs w:val="22"/>
        </w:rPr>
        <w:t xml:space="preserve">This licensing authority will inform the society of the reasons for refusal and allow them </w:t>
      </w:r>
      <w:r w:rsidRPr="00F36ADD">
        <w:rPr>
          <w:rFonts w:ascii="Arial" w:hAnsi="Arial" w:cs="Arial"/>
          <w:sz w:val="22"/>
          <w:szCs w:val="22"/>
        </w:rPr>
        <w:t>a period of 2 weeks</w:t>
      </w:r>
      <w:r w:rsidRPr="00BE4C12">
        <w:rPr>
          <w:rFonts w:ascii="Arial" w:hAnsi="Arial" w:cs="Arial"/>
          <w:sz w:val="22"/>
          <w:szCs w:val="22"/>
        </w:rPr>
        <w:t xml:space="preserve"> to submit representations.  A decision will then be </w:t>
      </w:r>
      <w:proofErr w:type="gramStart"/>
      <w:r w:rsidRPr="00BE4C12">
        <w:rPr>
          <w:rFonts w:ascii="Arial" w:hAnsi="Arial" w:cs="Arial"/>
          <w:sz w:val="22"/>
          <w:szCs w:val="22"/>
        </w:rPr>
        <w:t>reached</w:t>
      </w:r>
      <w:proofErr w:type="gramEnd"/>
      <w:r w:rsidRPr="00BE4C12">
        <w:rPr>
          <w:rFonts w:ascii="Arial" w:hAnsi="Arial" w:cs="Arial"/>
          <w:sz w:val="22"/>
          <w:szCs w:val="22"/>
        </w:rPr>
        <w:t xml:space="preserve"> and the society will be notified.</w:t>
      </w:r>
    </w:p>
    <w:p w14:paraId="4367EF19" w14:textId="77777777" w:rsidR="00BE4C12" w:rsidRPr="00BE4C12" w:rsidRDefault="00BE4C12" w:rsidP="00BE4C12">
      <w:pPr>
        <w:pStyle w:val="BodyText"/>
        <w:spacing w:before="3"/>
        <w:ind w:left="567"/>
        <w:rPr>
          <w:rFonts w:ascii="Arial" w:hAnsi="Arial" w:cs="Arial"/>
          <w:sz w:val="22"/>
          <w:szCs w:val="22"/>
        </w:rPr>
      </w:pPr>
    </w:p>
    <w:p w14:paraId="054C7870" w14:textId="77777777" w:rsidR="00A73C7B" w:rsidRPr="00BE4C12" w:rsidRDefault="00BE4C12" w:rsidP="00BE4C12">
      <w:pPr>
        <w:rPr>
          <w:rFonts w:cs="Arial"/>
          <w:bCs/>
          <w:szCs w:val="22"/>
        </w:rPr>
      </w:pPr>
      <w:r w:rsidRPr="00BE4C12">
        <w:rPr>
          <w:rFonts w:cs="Arial"/>
          <w:szCs w:val="22"/>
        </w:rPr>
        <w:t xml:space="preserve">A licensing authority may also determine to revoke the registration of a society if it thinks that they would have had to, or would be entitled to, refuse an application for registration if it were being made at that time.  The society would be informed of the preliminary decision to revoke the registration and allow time for representations. </w:t>
      </w:r>
      <w:r w:rsidRPr="00F36ADD">
        <w:rPr>
          <w:rFonts w:cs="Arial"/>
          <w:szCs w:val="22"/>
        </w:rPr>
        <w:t>After this period of 2 weeks</w:t>
      </w:r>
      <w:r w:rsidRPr="00BE4C12">
        <w:rPr>
          <w:rFonts w:cs="Arial"/>
          <w:szCs w:val="22"/>
        </w:rPr>
        <w:t xml:space="preserve">, a decision will be formally </w:t>
      </w:r>
      <w:proofErr w:type="gramStart"/>
      <w:r w:rsidRPr="00BE4C12">
        <w:rPr>
          <w:rFonts w:cs="Arial"/>
          <w:szCs w:val="22"/>
        </w:rPr>
        <w:t>made</w:t>
      </w:r>
      <w:proofErr w:type="gramEnd"/>
      <w:r w:rsidRPr="00BE4C12">
        <w:rPr>
          <w:rFonts w:cs="Arial"/>
          <w:szCs w:val="22"/>
        </w:rPr>
        <w:t xml:space="preserve"> and the society notified.</w:t>
      </w:r>
    </w:p>
    <w:p w14:paraId="61B518CF" w14:textId="77777777" w:rsidR="00A73C7B" w:rsidRDefault="00A73C7B" w:rsidP="00A73C7B">
      <w:pPr>
        <w:jc w:val="right"/>
        <w:rPr>
          <w:rFonts w:cs="Tahoma"/>
          <w:b/>
          <w:bCs/>
          <w:color w:val="FF00FF"/>
        </w:rPr>
      </w:pPr>
      <w:r>
        <w:rPr>
          <w:rFonts w:cs="Tahoma"/>
          <w:b/>
          <w:bCs/>
          <w:color w:val="FF00FF"/>
        </w:rPr>
        <w:br w:type="page"/>
      </w:r>
    </w:p>
    <w:p w14:paraId="7B8598E8" w14:textId="77777777" w:rsidR="00A73C7B" w:rsidRDefault="00A73C7B" w:rsidP="008D6739">
      <w:pPr>
        <w:pStyle w:val="Header"/>
        <w:tabs>
          <w:tab w:val="clear" w:pos="4153"/>
          <w:tab w:val="clear" w:pos="8306"/>
        </w:tabs>
        <w:jc w:val="right"/>
        <w:rPr>
          <w:rFonts w:cs="Tahoma"/>
          <w:b/>
          <w:bCs/>
          <w:color w:val="FF00FF"/>
        </w:rPr>
      </w:pPr>
    </w:p>
    <w:p w14:paraId="4F480912" w14:textId="77777777" w:rsidR="00AF1C9B" w:rsidRPr="00D00F44" w:rsidRDefault="00A73C7B" w:rsidP="009A497E">
      <w:pPr>
        <w:pStyle w:val="Heading2"/>
      </w:pPr>
      <w:r>
        <w:t>Appendix 4</w:t>
      </w:r>
    </w:p>
    <w:p w14:paraId="1990DD12" w14:textId="7988E693" w:rsidR="00AF1C9B" w:rsidRDefault="00AF1C9B" w:rsidP="009A497E">
      <w:pPr>
        <w:pStyle w:val="Heading3"/>
        <w:rPr>
          <w:b/>
          <w:bCs/>
          <w:u w:val="none"/>
        </w:rPr>
      </w:pPr>
      <w:r w:rsidRPr="009A497E">
        <w:rPr>
          <w:b/>
          <w:bCs/>
          <w:u w:val="none"/>
        </w:rPr>
        <w:t>Responsible Authorities Contact details:</w:t>
      </w:r>
    </w:p>
    <w:p w14:paraId="14028AD1" w14:textId="77777777" w:rsidR="00666589" w:rsidRPr="00666589" w:rsidRDefault="00666589" w:rsidP="00666589">
      <w:pPr>
        <w:rPr>
          <w:lang w:eastAsia="en-US"/>
        </w:rPr>
      </w:pPr>
    </w:p>
    <w:p w14:paraId="162102AB" w14:textId="77777777" w:rsidR="00CB31C5" w:rsidRPr="00FB6E60" w:rsidRDefault="00CB31C5" w:rsidP="00CB31C5">
      <w:pPr>
        <w:rPr>
          <w:rFonts w:cs="Arial"/>
          <w:sz w:val="24"/>
          <w:szCs w:val="24"/>
        </w:rPr>
      </w:pPr>
      <w:r w:rsidRPr="00FB6E60">
        <w:rPr>
          <w:rFonts w:cs="Arial"/>
          <w:sz w:val="24"/>
          <w:szCs w:val="24"/>
        </w:rPr>
        <w:t>Gravesham and Medway Shared Licensing Service</w:t>
      </w:r>
    </w:p>
    <w:p w14:paraId="0B702474" w14:textId="77777777" w:rsidR="00CB31C5" w:rsidRPr="00FB6E60" w:rsidRDefault="00CB31C5" w:rsidP="00CB31C5">
      <w:pPr>
        <w:rPr>
          <w:rFonts w:cs="Arial"/>
          <w:sz w:val="24"/>
          <w:szCs w:val="24"/>
        </w:rPr>
      </w:pPr>
      <w:r w:rsidRPr="00FB6E60">
        <w:rPr>
          <w:rFonts w:cs="Arial"/>
          <w:sz w:val="24"/>
          <w:szCs w:val="24"/>
        </w:rPr>
        <w:t>Gravesham Borough Council</w:t>
      </w:r>
    </w:p>
    <w:p w14:paraId="683330CF" w14:textId="77777777" w:rsidR="00CB31C5" w:rsidRPr="00FB6E60" w:rsidRDefault="00CB31C5" w:rsidP="00CB31C5">
      <w:pPr>
        <w:rPr>
          <w:rFonts w:cs="Arial"/>
          <w:sz w:val="24"/>
          <w:szCs w:val="24"/>
        </w:rPr>
      </w:pPr>
      <w:r w:rsidRPr="00FB6E60">
        <w:rPr>
          <w:rFonts w:cs="Arial"/>
          <w:sz w:val="24"/>
          <w:szCs w:val="24"/>
        </w:rPr>
        <w:t>Civic Centre</w:t>
      </w:r>
    </w:p>
    <w:p w14:paraId="0EE457A9" w14:textId="77777777" w:rsidR="00CB31C5" w:rsidRPr="00FB6E60" w:rsidRDefault="00CB31C5" w:rsidP="00CB31C5">
      <w:pPr>
        <w:rPr>
          <w:rFonts w:cs="Arial"/>
          <w:sz w:val="24"/>
          <w:szCs w:val="24"/>
        </w:rPr>
      </w:pPr>
      <w:r w:rsidRPr="00FB6E60">
        <w:rPr>
          <w:rFonts w:cs="Arial"/>
          <w:sz w:val="24"/>
          <w:szCs w:val="24"/>
        </w:rPr>
        <w:t>Windmill Street</w:t>
      </w:r>
    </w:p>
    <w:p w14:paraId="6903956E" w14:textId="77777777" w:rsidR="00CB31C5" w:rsidRPr="00FB6E60" w:rsidRDefault="00CB31C5" w:rsidP="00CB31C5">
      <w:pPr>
        <w:rPr>
          <w:rFonts w:cs="Arial"/>
          <w:sz w:val="24"/>
          <w:szCs w:val="24"/>
        </w:rPr>
      </w:pPr>
      <w:r w:rsidRPr="00FB6E60">
        <w:rPr>
          <w:rFonts w:cs="Arial"/>
          <w:sz w:val="24"/>
          <w:szCs w:val="24"/>
        </w:rPr>
        <w:t>Gravesend</w:t>
      </w:r>
    </w:p>
    <w:p w14:paraId="49888F27" w14:textId="77777777" w:rsidR="00CB31C5" w:rsidRPr="00FB6E60" w:rsidRDefault="00CB31C5" w:rsidP="00CB31C5">
      <w:pPr>
        <w:rPr>
          <w:rFonts w:cs="Arial"/>
          <w:sz w:val="24"/>
          <w:szCs w:val="24"/>
        </w:rPr>
      </w:pPr>
      <w:r w:rsidRPr="00FB6E60">
        <w:rPr>
          <w:rFonts w:cs="Arial"/>
          <w:sz w:val="24"/>
          <w:szCs w:val="24"/>
        </w:rPr>
        <w:t>Kent</w:t>
      </w:r>
    </w:p>
    <w:p w14:paraId="16E89E1E" w14:textId="77777777" w:rsidR="00CB31C5" w:rsidRPr="00FB6E60" w:rsidRDefault="00CB31C5" w:rsidP="00CB31C5">
      <w:pPr>
        <w:rPr>
          <w:rFonts w:cs="Arial"/>
          <w:sz w:val="24"/>
          <w:szCs w:val="24"/>
        </w:rPr>
      </w:pPr>
      <w:r w:rsidRPr="00FB6E60">
        <w:rPr>
          <w:rFonts w:cs="Arial"/>
          <w:sz w:val="24"/>
          <w:szCs w:val="24"/>
        </w:rPr>
        <w:t>DA12 1AU</w:t>
      </w:r>
    </w:p>
    <w:p w14:paraId="75069B4B" w14:textId="77777777" w:rsidR="00CB31C5" w:rsidRPr="00FB6E60" w:rsidRDefault="00CB31C5" w:rsidP="00CB31C5">
      <w:pPr>
        <w:rPr>
          <w:rFonts w:cs="Arial"/>
          <w:sz w:val="24"/>
          <w:szCs w:val="24"/>
        </w:rPr>
      </w:pPr>
      <w:hyperlink r:id="rId18" w:history="1">
        <w:r w:rsidRPr="00FB6E60">
          <w:rPr>
            <w:rStyle w:val="Hyperlink"/>
            <w:rFonts w:cs="Arial"/>
            <w:sz w:val="24"/>
            <w:szCs w:val="24"/>
          </w:rPr>
          <w:t>licensing@gravesham.gov.uk</w:t>
        </w:r>
      </w:hyperlink>
    </w:p>
    <w:p w14:paraId="19808781" w14:textId="77777777" w:rsidR="00CB31C5" w:rsidRPr="00FB6E60" w:rsidRDefault="00CB31C5" w:rsidP="00CB31C5">
      <w:pPr>
        <w:rPr>
          <w:rFonts w:cs="Arial"/>
          <w:sz w:val="24"/>
          <w:szCs w:val="24"/>
        </w:rPr>
      </w:pPr>
    </w:p>
    <w:p w14:paraId="72DB320F" w14:textId="77777777" w:rsidR="00CB31C5" w:rsidRPr="00FB6E60" w:rsidRDefault="00CB31C5" w:rsidP="00CB31C5">
      <w:pPr>
        <w:rPr>
          <w:rFonts w:cs="Arial"/>
          <w:sz w:val="24"/>
          <w:szCs w:val="24"/>
        </w:rPr>
      </w:pPr>
      <w:r w:rsidRPr="00FB6E60">
        <w:rPr>
          <w:rFonts w:cs="Arial"/>
          <w:sz w:val="24"/>
          <w:szCs w:val="24"/>
        </w:rPr>
        <w:t>Gravesham Borough Council</w:t>
      </w:r>
    </w:p>
    <w:p w14:paraId="5E1C4D41" w14:textId="77777777" w:rsidR="00CB31C5" w:rsidRPr="00FB6E60" w:rsidRDefault="00CB31C5" w:rsidP="00CB31C5">
      <w:pPr>
        <w:rPr>
          <w:rFonts w:cs="Arial"/>
          <w:sz w:val="24"/>
          <w:szCs w:val="24"/>
        </w:rPr>
      </w:pPr>
      <w:r w:rsidRPr="00FB6E60">
        <w:rPr>
          <w:rFonts w:cs="Arial"/>
          <w:sz w:val="24"/>
          <w:szCs w:val="24"/>
        </w:rPr>
        <w:t>Environmental Protection</w:t>
      </w:r>
    </w:p>
    <w:p w14:paraId="7ECC8E5A" w14:textId="77777777" w:rsidR="00CB31C5" w:rsidRPr="00FB6E60" w:rsidRDefault="00CB31C5" w:rsidP="00CB31C5">
      <w:pPr>
        <w:rPr>
          <w:rFonts w:cs="Arial"/>
          <w:sz w:val="24"/>
          <w:szCs w:val="24"/>
        </w:rPr>
      </w:pPr>
      <w:r w:rsidRPr="00FB6E60">
        <w:rPr>
          <w:rFonts w:cs="Arial"/>
          <w:sz w:val="24"/>
          <w:szCs w:val="24"/>
        </w:rPr>
        <w:t>Regulatory Services</w:t>
      </w:r>
    </w:p>
    <w:p w14:paraId="087E0770" w14:textId="77777777" w:rsidR="00CB31C5" w:rsidRPr="00FB6E60" w:rsidRDefault="00CB31C5" w:rsidP="00CB31C5">
      <w:pPr>
        <w:rPr>
          <w:rFonts w:cs="Arial"/>
          <w:sz w:val="24"/>
          <w:szCs w:val="24"/>
        </w:rPr>
      </w:pPr>
      <w:r w:rsidRPr="00FB6E60">
        <w:rPr>
          <w:rFonts w:cs="Arial"/>
          <w:sz w:val="24"/>
          <w:szCs w:val="24"/>
        </w:rPr>
        <w:t>Gravesham Borough Council</w:t>
      </w:r>
    </w:p>
    <w:p w14:paraId="65F00729" w14:textId="77777777" w:rsidR="00CB31C5" w:rsidRPr="00FB6E60" w:rsidRDefault="00CB31C5" w:rsidP="00CB31C5">
      <w:pPr>
        <w:rPr>
          <w:rFonts w:cs="Arial"/>
          <w:sz w:val="24"/>
          <w:szCs w:val="24"/>
        </w:rPr>
      </w:pPr>
      <w:r w:rsidRPr="00FB6E60">
        <w:rPr>
          <w:rFonts w:cs="Arial"/>
          <w:sz w:val="24"/>
          <w:szCs w:val="24"/>
        </w:rPr>
        <w:t>Civic Centre</w:t>
      </w:r>
    </w:p>
    <w:p w14:paraId="444FA7EE" w14:textId="77777777" w:rsidR="00CB31C5" w:rsidRPr="00FB6E60" w:rsidRDefault="00CB31C5" w:rsidP="00CB31C5">
      <w:pPr>
        <w:rPr>
          <w:rFonts w:cs="Arial"/>
          <w:sz w:val="24"/>
          <w:szCs w:val="24"/>
        </w:rPr>
      </w:pPr>
      <w:r w:rsidRPr="00FB6E60">
        <w:rPr>
          <w:rFonts w:cs="Arial"/>
          <w:sz w:val="24"/>
          <w:szCs w:val="24"/>
        </w:rPr>
        <w:t>Windmill Street</w:t>
      </w:r>
    </w:p>
    <w:p w14:paraId="3EEA2EDA" w14:textId="77777777" w:rsidR="00CB31C5" w:rsidRPr="00FB6E60" w:rsidRDefault="00CB31C5" w:rsidP="00CB31C5">
      <w:pPr>
        <w:rPr>
          <w:rFonts w:cs="Arial"/>
          <w:sz w:val="24"/>
          <w:szCs w:val="24"/>
        </w:rPr>
      </w:pPr>
      <w:r w:rsidRPr="00FB6E60">
        <w:rPr>
          <w:rFonts w:cs="Arial"/>
          <w:sz w:val="24"/>
          <w:szCs w:val="24"/>
        </w:rPr>
        <w:t>Gravesend</w:t>
      </w:r>
    </w:p>
    <w:p w14:paraId="39142F6C" w14:textId="77777777" w:rsidR="00CB31C5" w:rsidRPr="00FB6E60" w:rsidRDefault="00CB31C5" w:rsidP="00CB31C5">
      <w:pPr>
        <w:rPr>
          <w:rFonts w:cs="Arial"/>
          <w:sz w:val="24"/>
          <w:szCs w:val="24"/>
        </w:rPr>
      </w:pPr>
      <w:r w:rsidRPr="00FB6E60">
        <w:rPr>
          <w:rFonts w:cs="Arial"/>
          <w:sz w:val="24"/>
          <w:szCs w:val="24"/>
        </w:rPr>
        <w:t>Kent</w:t>
      </w:r>
    </w:p>
    <w:p w14:paraId="566C0DFC" w14:textId="77777777" w:rsidR="00CB31C5" w:rsidRPr="00FB6E60" w:rsidRDefault="00CB31C5" w:rsidP="00CB31C5">
      <w:pPr>
        <w:rPr>
          <w:rFonts w:cs="Arial"/>
          <w:sz w:val="24"/>
          <w:szCs w:val="24"/>
        </w:rPr>
      </w:pPr>
      <w:r w:rsidRPr="00FB6E60">
        <w:rPr>
          <w:rFonts w:cs="Arial"/>
          <w:sz w:val="24"/>
          <w:szCs w:val="24"/>
        </w:rPr>
        <w:t>DA12 1AU</w:t>
      </w:r>
    </w:p>
    <w:p w14:paraId="0A616EE4" w14:textId="77777777" w:rsidR="00CB31C5" w:rsidRPr="00FB6E60" w:rsidRDefault="00CB31C5" w:rsidP="00CB31C5">
      <w:pPr>
        <w:rPr>
          <w:rFonts w:cs="Arial"/>
          <w:sz w:val="24"/>
          <w:szCs w:val="24"/>
        </w:rPr>
      </w:pPr>
      <w:hyperlink r:id="rId19" w:history="1">
        <w:r w:rsidRPr="00FB6E60">
          <w:rPr>
            <w:rStyle w:val="Hyperlink"/>
            <w:rFonts w:cs="Arial"/>
            <w:sz w:val="24"/>
            <w:szCs w:val="24"/>
          </w:rPr>
          <w:t>ep@gravesham.gov.uk</w:t>
        </w:r>
      </w:hyperlink>
    </w:p>
    <w:p w14:paraId="56E7DB59" w14:textId="77777777" w:rsidR="00CB31C5" w:rsidRPr="00FB6E60" w:rsidRDefault="00CB31C5" w:rsidP="00CB31C5">
      <w:pPr>
        <w:rPr>
          <w:rFonts w:cs="Arial"/>
          <w:sz w:val="24"/>
          <w:szCs w:val="24"/>
        </w:rPr>
      </w:pPr>
      <w:r w:rsidRPr="00FB6E60">
        <w:rPr>
          <w:rFonts w:cs="Arial"/>
          <w:sz w:val="24"/>
          <w:szCs w:val="24"/>
        </w:rPr>
        <w:t>Gambling Commission</w:t>
      </w:r>
    </w:p>
    <w:p w14:paraId="17D6B9DB" w14:textId="77777777" w:rsidR="00CB31C5" w:rsidRPr="00FB6E60" w:rsidRDefault="00CB31C5" w:rsidP="00CB31C5">
      <w:pPr>
        <w:rPr>
          <w:rFonts w:cs="Arial"/>
          <w:sz w:val="24"/>
          <w:szCs w:val="24"/>
        </w:rPr>
      </w:pPr>
      <w:r w:rsidRPr="00FB6E60">
        <w:rPr>
          <w:rFonts w:cs="Arial"/>
          <w:sz w:val="24"/>
          <w:szCs w:val="24"/>
        </w:rPr>
        <w:t>Victoria Square House</w:t>
      </w:r>
    </w:p>
    <w:p w14:paraId="23A4B5D7" w14:textId="77777777" w:rsidR="00CB31C5" w:rsidRPr="00FB6E60" w:rsidRDefault="00CB31C5" w:rsidP="00CB31C5">
      <w:pPr>
        <w:rPr>
          <w:rFonts w:cs="Arial"/>
          <w:sz w:val="24"/>
          <w:szCs w:val="24"/>
        </w:rPr>
      </w:pPr>
      <w:r w:rsidRPr="00FB6E60">
        <w:rPr>
          <w:rFonts w:cs="Arial"/>
          <w:sz w:val="24"/>
          <w:szCs w:val="24"/>
        </w:rPr>
        <w:t>Victoria Square</w:t>
      </w:r>
    </w:p>
    <w:p w14:paraId="00E0C430" w14:textId="77777777" w:rsidR="00CB31C5" w:rsidRPr="00FB6E60" w:rsidRDefault="00CB31C5" w:rsidP="00CB31C5">
      <w:pPr>
        <w:rPr>
          <w:rFonts w:cs="Arial"/>
          <w:sz w:val="24"/>
          <w:szCs w:val="24"/>
        </w:rPr>
      </w:pPr>
      <w:r w:rsidRPr="00FB6E60">
        <w:rPr>
          <w:rFonts w:cs="Arial"/>
          <w:sz w:val="24"/>
          <w:szCs w:val="24"/>
        </w:rPr>
        <w:t>Birmingham</w:t>
      </w:r>
    </w:p>
    <w:p w14:paraId="49D31910" w14:textId="77777777" w:rsidR="00CB31C5" w:rsidRPr="00FB6E60" w:rsidRDefault="00CB31C5" w:rsidP="00CB31C5">
      <w:pPr>
        <w:rPr>
          <w:rFonts w:cs="Arial"/>
          <w:sz w:val="24"/>
          <w:szCs w:val="24"/>
        </w:rPr>
      </w:pPr>
      <w:r w:rsidRPr="00FB6E60">
        <w:rPr>
          <w:rFonts w:cs="Arial"/>
          <w:sz w:val="24"/>
          <w:szCs w:val="24"/>
        </w:rPr>
        <w:t>B2 4BP</w:t>
      </w:r>
    </w:p>
    <w:p w14:paraId="42755A6C" w14:textId="77777777" w:rsidR="00CB31C5" w:rsidRPr="00FB6E60" w:rsidRDefault="00CB31C5" w:rsidP="00CB31C5">
      <w:pPr>
        <w:rPr>
          <w:rFonts w:cs="Arial"/>
          <w:sz w:val="24"/>
          <w:szCs w:val="24"/>
        </w:rPr>
      </w:pPr>
      <w:hyperlink r:id="rId20" w:history="1">
        <w:r w:rsidRPr="00FB6E60">
          <w:rPr>
            <w:rStyle w:val="Hyperlink"/>
            <w:rFonts w:cs="Arial"/>
            <w:sz w:val="24"/>
            <w:szCs w:val="24"/>
          </w:rPr>
          <w:t>www.gamblingcommission.gov.uk</w:t>
        </w:r>
      </w:hyperlink>
      <w:r w:rsidRPr="00FB6E60">
        <w:rPr>
          <w:rFonts w:cs="Arial"/>
          <w:sz w:val="24"/>
          <w:szCs w:val="24"/>
        </w:rPr>
        <w:t xml:space="preserve"> </w:t>
      </w:r>
    </w:p>
    <w:p w14:paraId="2B1ABDD9" w14:textId="77777777" w:rsidR="00CB31C5" w:rsidRPr="00FB6E60" w:rsidRDefault="00CB31C5" w:rsidP="00CB31C5">
      <w:pPr>
        <w:rPr>
          <w:rFonts w:cs="Arial"/>
          <w:sz w:val="24"/>
          <w:szCs w:val="24"/>
        </w:rPr>
      </w:pPr>
      <w:hyperlink r:id="rId21" w:history="1">
        <w:r w:rsidRPr="00FB6E60">
          <w:rPr>
            <w:rStyle w:val="Hyperlink"/>
            <w:rFonts w:cs="Arial"/>
            <w:sz w:val="24"/>
            <w:szCs w:val="24"/>
          </w:rPr>
          <w:t>info@gamblingcommission.gov.uk</w:t>
        </w:r>
      </w:hyperlink>
      <w:r w:rsidRPr="00FB6E60">
        <w:rPr>
          <w:rFonts w:cs="Arial"/>
          <w:sz w:val="24"/>
          <w:szCs w:val="24"/>
        </w:rPr>
        <w:t xml:space="preserve"> </w:t>
      </w:r>
    </w:p>
    <w:p w14:paraId="3BF1F4CA" w14:textId="77777777" w:rsidR="00CB31C5" w:rsidRDefault="00CB31C5" w:rsidP="00CB31C5">
      <w:pPr>
        <w:rPr>
          <w:rFonts w:cs="Arial"/>
          <w:sz w:val="24"/>
          <w:szCs w:val="24"/>
        </w:rPr>
      </w:pPr>
      <w:r w:rsidRPr="00FB6E60">
        <w:rPr>
          <w:rFonts w:cs="Arial"/>
          <w:sz w:val="24"/>
          <w:szCs w:val="24"/>
        </w:rPr>
        <w:t>01212 306500</w:t>
      </w:r>
    </w:p>
    <w:p w14:paraId="4C48C3BF" w14:textId="77777777" w:rsidR="00CB31C5" w:rsidRPr="00FB6E60" w:rsidRDefault="00CB31C5" w:rsidP="00CB31C5">
      <w:pPr>
        <w:rPr>
          <w:rFonts w:cs="Arial"/>
          <w:sz w:val="24"/>
          <w:szCs w:val="24"/>
        </w:rPr>
      </w:pPr>
    </w:p>
    <w:p w14:paraId="1E8A527A"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 xml:space="preserve">For premises where H&amp;S is enforced by GBC </w:t>
      </w:r>
      <w:proofErr w:type="gramStart"/>
      <w:r w:rsidRPr="00FB6E60">
        <w:rPr>
          <w:rFonts w:cs="Arial"/>
          <w:bCs/>
          <w:sz w:val="24"/>
          <w:szCs w:val="24"/>
        </w:rPr>
        <w:t>e.g.</w:t>
      </w:r>
      <w:proofErr w:type="gramEnd"/>
      <w:r w:rsidRPr="00FB6E60">
        <w:rPr>
          <w:rFonts w:cs="Arial"/>
          <w:bCs/>
          <w:sz w:val="24"/>
          <w:szCs w:val="24"/>
        </w:rPr>
        <w:t xml:space="preserve"> shops, pubs, clubs, etc</w:t>
      </w:r>
    </w:p>
    <w:p w14:paraId="3B8ACEDD"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Gravesham Borough Council</w:t>
      </w:r>
    </w:p>
    <w:p w14:paraId="572EC522"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Commercial Section (Health &amp; Safety)</w:t>
      </w:r>
    </w:p>
    <w:p w14:paraId="384D82D1"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Regulatory Services</w:t>
      </w:r>
    </w:p>
    <w:p w14:paraId="10A0611F"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Civic Centre</w:t>
      </w:r>
    </w:p>
    <w:p w14:paraId="73BAA9E4"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Windmill Street</w:t>
      </w:r>
    </w:p>
    <w:p w14:paraId="5B14828B"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Gravesend</w:t>
      </w:r>
    </w:p>
    <w:p w14:paraId="3CE0EBEF"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Kent</w:t>
      </w:r>
    </w:p>
    <w:p w14:paraId="1BC7F6B5"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DA12 1AU</w:t>
      </w:r>
    </w:p>
    <w:p w14:paraId="61505126" w14:textId="77777777" w:rsidR="00CB31C5" w:rsidRPr="00FB6E60" w:rsidRDefault="00CB31C5" w:rsidP="00CB31C5">
      <w:pPr>
        <w:pStyle w:val="Header"/>
        <w:tabs>
          <w:tab w:val="clear" w:pos="4153"/>
          <w:tab w:val="clear" w:pos="8306"/>
        </w:tabs>
        <w:rPr>
          <w:rFonts w:cs="Arial"/>
          <w:bCs/>
          <w:sz w:val="24"/>
          <w:szCs w:val="24"/>
        </w:rPr>
      </w:pPr>
      <w:hyperlink r:id="rId22" w:history="1">
        <w:r w:rsidRPr="00FB6E60">
          <w:rPr>
            <w:rStyle w:val="Hyperlink"/>
            <w:rFonts w:cs="Arial"/>
            <w:bCs/>
            <w:sz w:val="24"/>
            <w:szCs w:val="24"/>
          </w:rPr>
          <w:t>commercialhealth.admin@gravesham.gov.uk</w:t>
        </w:r>
      </w:hyperlink>
      <w:r w:rsidRPr="00FB6E60">
        <w:rPr>
          <w:rFonts w:cs="Arial"/>
          <w:bCs/>
          <w:sz w:val="24"/>
          <w:szCs w:val="24"/>
        </w:rPr>
        <w:t xml:space="preserve"> </w:t>
      </w:r>
    </w:p>
    <w:p w14:paraId="6145FF03" w14:textId="77777777" w:rsidR="00CB31C5" w:rsidRPr="00FB6E60" w:rsidRDefault="00CB31C5" w:rsidP="00CB31C5">
      <w:pPr>
        <w:pStyle w:val="Header"/>
        <w:tabs>
          <w:tab w:val="clear" w:pos="4153"/>
          <w:tab w:val="clear" w:pos="8306"/>
        </w:tabs>
        <w:rPr>
          <w:rFonts w:cs="Arial"/>
          <w:bCs/>
          <w:sz w:val="24"/>
          <w:szCs w:val="24"/>
        </w:rPr>
      </w:pPr>
    </w:p>
    <w:p w14:paraId="5554F89F" w14:textId="77777777" w:rsidR="00CB31C5" w:rsidRPr="00FB6E60" w:rsidRDefault="00CB31C5" w:rsidP="00CB31C5">
      <w:pPr>
        <w:pStyle w:val="Default"/>
        <w:contextualSpacing/>
      </w:pPr>
      <w:r w:rsidRPr="00FB6E60">
        <w:t xml:space="preserve">North Kent Police Licensing </w:t>
      </w:r>
    </w:p>
    <w:p w14:paraId="37D2C022" w14:textId="77777777" w:rsidR="00CB31C5" w:rsidRPr="00FB6E60" w:rsidRDefault="00CB31C5" w:rsidP="00CB31C5">
      <w:pPr>
        <w:pStyle w:val="Default"/>
        <w:contextualSpacing/>
        <w:rPr>
          <w:color w:val="auto"/>
        </w:rPr>
      </w:pPr>
      <w:r w:rsidRPr="00FB6E60">
        <w:rPr>
          <w:color w:val="auto"/>
        </w:rPr>
        <w:t>Medway Police Station</w:t>
      </w:r>
    </w:p>
    <w:p w14:paraId="2B21A00F" w14:textId="77777777" w:rsidR="00CB31C5" w:rsidRPr="00FB6E60" w:rsidRDefault="00CB31C5" w:rsidP="00CB31C5">
      <w:pPr>
        <w:pStyle w:val="Default"/>
        <w:contextualSpacing/>
        <w:rPr>
          <w:color w:val="auto"/>
        </w:rPr>
      </w:pPr>
      <w:r w:rsidRPr="00FB6E60">
        <w:rPr>
          <w:color w:val="auto"/>
        </w:rPr>
        <w:t>Purser Way</w:t>
      </w:r>
    </w:p>
    <w:p w14:paraId="440632C5" w14:textId="77777777" w:rsidR="00CB31C5" w:rsidRPr="00FB6E60" w:rsidRDefault="00CB31C5" w:rsidP="00CB31C5">
      <w:pPr>
        <w:pStyle w:val="Default"/>
        <w:contextualSpacing/>
        <w:rPr>
          <w:color w:val="auto"/>
        </w:rPr>
      </w:pPr>
      <w:r w:rsidRPr="00FB6E60">
        <w:rPr>
          <w:color w:val="auto"/>
        </w:rPr>
        <w:t>Gillingham</w:t>
      </w:r>
    </w:p>
    <w:p w14:paraId="3CD688CE" w14:textId="77777777" w:rsidR="00CB31C5" w:rsidRPr="00FB6E60" w:rsidRDefault="00CB31C5" w:rsidP="00CB31C5">
      <w:pPr>
        <w:pStyle w:val="Default"/>
        <w:contextualSpacing/>
        <w:rPr>
          <w:color w:val="auto"/>
        </w:rPr>
      </w:pPr>
      <w:r w:rsidRPr="00FB6E60">
        <w:rPr>
          <w:color w:val="auto"/>
        </w:rPr>
        <w:t xml:space="preserve">Kent </w:t>
      </w:r>
    </w:p>
    <w:p w14:paraId="0D4B2D7E" w14:textId="77777777" w:rsidR="00CB31C5" w:rsidRPr="00FB6E60" w:rsidRDefault="00CB31C5" w:rsidP="00CB31C5">
      <w:pPr>
        <w:pStyle w:val="Default"/>
        <w:contextualSpacing/>
        <w:rPr>
          <w:color w:val="auto"/>
        </w:rPr>
      </w:pPr>
      <w:r w:rsidRPr="00FB6E60">
        <w:rPr>
          <w:color w:val="auto"/>
        </w:rPr>
        <w:t>ME7 1NE</w:t>
      </w:r>
    </w:p>
    <w:p w14:paraId="181CE868" w14:textId="77777777" w:rsidR="00CB31C5" w:rsidRPr="00FB6E60" w:rsidRDefault="00CB31C5" w:rsidP="00CB31C5">
      <w:pPr>
        <w:pStyle w:val="Default"/>
        <w:contextualSpacing/>
        <w:rPr>
          <w:color w:val="auto"/>
        </w:rPr>
      </w:pPr>
      <w:hyperlink r:id="rId23" w:history="1">
        <w:r w:rsidRPr="00FB6E60">
          <w:rPr>
            <w:rStyle w:val="Hyperlink"/>
          </w:rPr>
          <w:t>licensing.north.division@kent.pnn.police.uk</w:t>
        </w:r>
      </w:hyperlink>
      <w:r w:rsidRPr="00FB6E60">
        <w:rPr>
          <w:color w:val="auto"/>
        </w:rPr>
        <w:t xml:space="preserve"> </w:t>
      </w:r>
    </w:p>
    <w:p w14:paraId="280CA903" w14:textId="77777777" w:rsidR="00CB31C5" w:rsidRPr="00FB6E60" w:rsidRDefault="00CB31C5" w:rsidP="00CB31C5">
      <w:pPr>
        <w:pStyle w:val="Default"/>
        <w:contextualSpacing/>
        <w:rPr>
          <w:color w:val="auto"/>
        </w:rPr>
      </w:pPr>
      <w:r w:rsidRPr="00FB6E60">
        <w:rPr>
          <w:color w:val="auto"/>
        </w:rPr>
        <w:t>01634 792733</w:t>
      </w:r>
    </w:p>
    <w:p w14:paraId="08BC99A8" w14:textId="77777777" w:rsidR="00CB31C5" w:rsidRPr="00FB6E60" w:rsidRDefault="00CB31C5" w:rsidP="00CB31C5">
      <w:pPr>
        <w:pStyle w:val="Default"/>
        <w:contextualSpacing/>
        <w:rPr>
          <w:color w:val="auto"/>
        </w:rPr>
      </w:pPr>
    </w:p>
    <w:p w14:paraId="465F7309" w14:textId="77777777" w:rsidR="00CB31C5" w:rsidRPr="00FB6E60" w:rsidRDefault="00CB31C5" w:rsidP="00CB31C5">
      <w:pPr>
        <w:contextualSpacing/>
        <w:rPr>
          <w:rFonts w:cs="Arial"/>
          <w:sz w:val="24"/>
          <w:szCs w:val="24"/>
        </w:rPr>
      </w:pPr>
      <w:r w:rsidRPr="00FB6E60">
        <w:rPr>
          <w:rFonts w:cs="Arial"/>
          <w:sz w:val="24"/>
          <w:szCs w:val="24"/>
        </w:rPr>
        <w:t>Kent Safeguarding Children multi-agency partnership</w:t>
      </w:r>
    </w:p>
    <w:p w14:paraId="56CCF22A" w14:textId="77777777" w:rsidR="00CB31C5" w:rsidRPr="00FB6E60" w:rsidRDefault="00CB31C5" w:rsidP="00CB31C5">
      <w:pPr>
        <w:contextualSpacing/>
        <w:rPr>
          <w:rFonts w:cs="Arial"/>
          <w:sz w:val="24"/>
          <w:szCs w:val="24"/>
        </w:rPr>
      </w:pPr>
      <w:r w:rsidRPr="00FB6E60">
        <w:rPr>
          <w:rFonts w:cs="Arial"/>
          <w:sz w:val="24"/>
          <w:szCs w:val="24"/>
        </w:rPr>
        <w:t>Room 2.71</w:t>
      </w:r>
    </w:p>
    <w:p w14:paraId="0F73238E" w14:textId="77777777" w:rsidR="00CB31C5" w:rsidRPr="00FB6E60" w:rsidRDefault="00CB31C5" w:rsidP="00CB31C5">
      <w:pPr>
        <w:contextualSpacing/>
        <w:rPr>
          <w:rFonts w:cs="Arial"/>
          <w:sz w:val="24"/>
          <w:szCs w:val="24"/>
        </w:rPr>
      </w:pPr>
      <w:r w:rsidRPr="00FB6E60">
        <w:rPr>
          <w:rFonts w:cs="Arial"/>
          <w:sz w:val="24"/>
          <w:szCs w:val="24"/>
        </w:rPr>
        <w:t>Sessions House</w:t>
      </w:r>
    </w:p>
    <w:p w14:paraId="4F27C073" w14:textId="77777777" w:rsidR="00CB31C5" w:rsidRPr="00FB6E60" w:rsidRDefault="00CB31C5" w:rsidP="00CB31C5">
      <w:pPr>
        <w:contextualSpacing/>
        <w:rPr>
          <w:rFonts w:cs="Arial"/>
          <w:sz w:val="24"/>
          <w:szCs w:val="24"/>
        </w:rPr>
      </w:pPr>
      <w:r w:rsidRPr="00FB6E60">
        <w:rPr>
          <w:rFonts w:cs="Arial"/>
          <w:sz w:val="24"/>
          <w:szCs w:val="24"/>
        </w:rPr>
        <w:t>County Hall</w:t>
      </w:r>
    </w:p>
    <w:p w14:paraId="430EC8A7" w14:textId="77777777" w:rsidR="00CB31C5" w:rsidRPr="00FB6E60" w:rsidRDefault="00CB31C5" w:rsidP="00CB31C5">
      <w:pPr>
        <w:contextualSpacing/>
        <w:rPr>
          <w:rFonts w:cs="Arial"/>
          <w:sz w:val="24"/>
          <w:szCs w:val="24"/>
        </w:rPr>
      </w:pPr>
      <w:r w:rsidRPr="00FB6E60">
        <w:rPr>
          <w:rFonts w:cs="Arial"/>
          <w:sz w:val="24"/>
          <w:szCs w:val="24"/>
        </w:rPr>
        <w:t>Maidstone</w:t>
      </w:r>
    </w:p>
    <w:p w14:paraId="29349672" w14:textId="77777777" w:rsidR="00CB31C5" w:rsidRPr="00FB6E60" w:rsidRDefault="00CB31C5" w:rsidP="00CB31C5">
      <w:pPr>
        <w:tabs>
          <w:tab w:val="left" w:pos="1980"/>
        </w:tabs>
        <w:jc w:val="both"/>
        <w:rPr>
          <w:rFonts w:cs="Arial"/>
          <w:sz w:val="24"/>
          <w:szCs w:val="24"/>
        </w:rPr>
      </w:pPr>
      <w:r w:rsidRPr="00FB6E60">
        <w:rPr>
          <w:rFonts w:cs="Arial"/>
          <w:sz w:val="24"/>
          <w:szCs w:val="24"/>
        </w:rPr>
        <w:t>ME14 1XQ</w:t>
      </w:r>
    </w:p>
    <w:p w14:paraId="617C5CD8" w14:textId="77777777" w:rsidR="00CB31C5" w:rsidRPr="00FB6E60" w:rsidRDefault="00CB31C5" w:rsidP="00CB31C5">
      <w:pPr>
        <w:contextualSpacing/>
        <w:rPr>
          <w:rFonts w:cs="Arial"/>
          <w:sz w:val="24"/>
          <w:szCs w:val="24"/>
        </w:rPr>
      </w:pPr>
      <w:hyperlink r:id="rId24" w:history="1">
        <w:r w:rsidRPr="00FB6E60">
          <w:rPr>
            <w:rStyle w:val="Hyperlink"/>
            <w:rFonts w:cs="Arial"/>
            <w:sz w:val="24"/>
            <w:szCs w:val="24"/>
          </w:rPr>
          <w:t>kscmp@kent.gov.uk</w:t>
        </w:r>
      </w:hyperlink>
      <w:r w:rsidRPr="00FB6E60">
        <w:rPr>
          <w:rFonts w:cs="Arial"/>
          <w:sz w:val="24"/>
          <w:szCs w:val="24"/>
        </w:rPr>
        <w:t xml:space="preserve"> </w:t>
      </w:r>
    </w:p>
    <w:p w14:paraId="7B02A49B" w14:textId="77777777" w:rsidR="00CB31C5" w:rsidRPr="00FB6E60" w:rsidRDefault="00CB31C5" w:rsidP="00CB31C5">
      <w:pPr>
        <w:contextualSpacing/>
        <w:rPr>
          <w:rFonts w:cs="Arial"/>
          <w:sz w:val="24"/>
          <w:szCs w:val="24"/>
        </w:rPr>
      </w:pPr>
      <w:r w:rsidRPr="00FB6E60">
        <w:rPr>
          <w:rFonts w:cs="Arial"/>
          <w:sz w:val="24"/>
          <w:szCs w:val="24"/>
        </w:rPr>
        <w:t>03000 421126</w:t>
      </w:r>
    </w:p>
    <w:p w14:paraId="2F71BBDB" w14:textId="77777777" w:rsidR="00CB31C5" w:rsidRPr="00FB6E60" w:rsidRDefault="00CB31C5" w:rsidP="00CB31C5">
      <w:pPr>
        <w:pStyle w:val="Header"/>
        <w:tabs>
          <w:tab w:val="clear" w:pos="4153"/>
          <w:tab w:val="clear" w:pos="8306"/>
        </w:tabs>
        <w:rPr>
          <w:rFonts w:cs="Arial"/>
          <w:sz w:val="24"/>
          <w:szCs w:val="24"/>
        </w:rPr>
      </w:pPr>
      <w:r w:rsidRPr="00FB6E60">
        <w:rPr>
          <w:rFonts w:cs="Arial"/>
          <w:sz w:val="24"/>
          <w:szCs w:val="24"/>
        </w:rPr>
        <w:t xml:space="preserve">West Kent Fire Safety Office </w:t>
      </w:r>
    </w:p>
    <w:p w14:paraId="3940899D"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Dartford Fire Station</w:t>
      </w:r>
    </w:p>
    <w:p w14:paraId="7BEC29B1"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Watling Street</w:t>
      </w:r>
    </w:p>
    <w:p w14:paraId="2E086D74"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Dartford</w:t>
      </w:r>
    </w:p>
    <w:p w14:paraId="145BC240"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Kent</w:t>
      </w:r>
    </w:p>
    <w:p w14:paraId="1F37D330"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DA2 6EG</w:t>
      </w:r>
    </w:p>
    <w:p w14:paraId="3BADAC48" w14:textId="77777777" w:rsidR="00CB31C5" w:rsidRPr="00FB6E60" w:rsidRDefault="00CB31C5" w:rsidP="00CB31C5">
      <w:pPr>
        <w:pStyle w:val="Header"/>
        <w:tabs>
          <w:tab w:val="clear" w:pos="4153"/>
          <w:tab w:val="clear" w:pos="8306"/>
        </w:tabs>
        <w:rPr>
          <w:rFonts w:cs="Arial"/>
          <w:bCs/>
          <w:sz w:val="24"/>
          <w:szCs w:val="24"/>
        </w:rPr>
      </w:pPr>
      <w:hyperlink r:id="rId25" w:history="1">
        <w:r w:rsidRPr="00FB6E60">
          <w:rPr>
            <w:rStyle w:val="Hyperlink"/>
            <w:rFonts w:cs="Arial"/>
            <w:bCs/>
            <w:color w:val="auto"/>
            <w:sz w:val="24"/>
            <w:szCs w:val="24"/>
            <w:u w:val="none"/>
          </w:rPr>
          <w:t>www.kent.fire-uk.org</w:t>
        </w:r>
      </w:hyperlink>
    </w:p>
    <w:p w14:paraId="10B729D0" w14:textId="77777777" w:rsidR="00CB31C5" w:rsidRPr="00FB6E60" w:rsidRDefault="00CB31C5" w:rsidP="00CB31C5">
      <w:pPr>
        <w:pStyle w:val="Default"/>
        <w:rPr>
          <w:color w:val="auto"/>
        </w:rPr>
      </w:pPr>
      <w:hyperlink r:id="rId26" w:history="1">
        <w:r w:rsidRPr="00FB6E60">
          <w:rPr>
            <w:rStyle w:val="Hyperlink"/>
          </w:rPr>
          <w:t>licensing@kent.fire-uk.org</w:t>
        </w:r>
      </w:hyperlink>
      <w:r w:rsidRPr="00FB6E60">
        <w:rPr>
          <w:color w:val="auto"/>
        </w:rPr>
        <w:t xml:space="preserve"> </w:t>
      </w:r>
    </w:p>
    <w:p w14:paraId="5DCBDA5E"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01322 224229</w:t>
      </w:r>
    </w:p>
    <w:p w14:paraId="70851EC3" w14:textId="77777777" w:rsidR="00CB31C5" w:rsidRPr="00FB6E60" w:rsidRDefault="00CB31C5" w:rsidP="00CB31C5">
      <w:pPr>
        <w:pStyle w:val="Header"/>
        <w:tabs>
          <w:tab w:val="clear" w:pos="4153"/>
          <w:tab w:val="clear" w:pos="8306"/>
        </w:tabs>
        <w:rPr>
          <w:rFonts w:cs="Arial"/>
          <w:bCs/>
          <w:sz w:val="24"/>
          <w:szCs w:val="24"/>
        </w:rPr>
      </w:pPr>
    </w:p>
    <w:p w14:paraId="3DFA1E25" w14:textId="77777777" w:rsidR="00CB31C5" w:rsidRPr="00FB6E60" w:rsidRDefault="00CB31C5" w:rsidP="00CB31C5">
      <w:pPr>
        <w:rPr>
          <w:rFonts w:cs="Arial"/>
          <w:sz w:val="24"/>
          <w:szCs w:val="24"/>
        </w:rPr>
      </w:pPr>
      <w:r w:rsidRPr="00FB6E60">
        <w:rPr>
          <w:rFonts w:cs="Arial"/>
          <w:sz w:val="24"/>
          <w:szCs w:val="24"/>
        </w:rPr>
        <w:t>HM Revenue and Customs</w:t>
      </w:r>
    </w:p>
    <w:p w14:paraId="3F633C4C" w14:textId="77777777" w:rsidR="00CB31C5" w:rsidRPr="00FB6E60" w:rsidRDefault="00CB31C5" w:rsidP="00CB31C5">
      <w:pPr>
        <w:rPr>
          <w:rFonts w:cs="Arial"/>
          <w:sz w:val="24"/>
          <w:szCs w:val="24"/>
        </w:rPr>
      </w:pPr>
      <w:r w:rsidRPr="00FB6E60">
        <w:rPr>
          <w:rFonts w:cs="Arial"/>
          <w:sz w:val="24"/>
          <w:szCs w:val="24"/>
        </w:rPr>
        <w:t>Excise Processing Teams</w:t>
      </w:r>
    </w:p>
    <w:p w14:paraId="5D0CF4B1" w14:textId="77777777" w:rsidR="00CB31C5" w:rsidRPr="00FB6E60" w:rsidRDefault="00CB31C5" w:rsidP="00CB31C5">
      <w:pPr>
        <w:rPr>
          <w:rFonts w:cs="Arial"/>
          <w:sz w:val="24"/>
          <w:szCs w:val="24"/>
        </w:rPr>
      </w:pPr>
      <w:r w:rsidRPr="00FB6E60">
        <w:rPr>
          <w:rFonts w:cs="Arial"/>
          <w:sz w:val="24"/>
          <w:szCs w:val="24"/>
        </w:rPr>
        <w:t>BX9 1GL</w:t>
      </w:r>
    </w:p>
    <w:p w14:paraId="55141646" w14:textId="77777777" w:rsidR="00CB31C5" w:rsidRPr="00FB6E60" w:rsidRDefault="00CB31C5" w:rsidP="00CB31C5">
      <w:pPr>
        <w:pStyle w:val="Default"/>
        <w:rPr>
          <w:bCs/>
          <w:color w:val="auto"/>
        </w:rPr>
      </w:pPr>
      <w:hyperlink r:id="rId27" w:history="1">
        <w:r w:rsidRPr="00FB6E60">
          <w:rPr>
            <w:rStyle w:val="Hyperlink"/>
            <w:bCs/>
          </w:rPr>
          <w:t>NRUBetting&amp;Gaming@hmrc.gsi.gov.uk</w:t>
        </w:r>
      </w:hyperlink>
      <w:r w:rsidRPr="00FB6E60">
        <w:rPr>
          <w:bCs/>
          <w:color w:val="auto"/>
        </w:rPr>
        <w:t xml:space="preserve"> </w:t>
      </w:r>
    </w:p>
    <w:p w14:paraId="7EA74B73" w14:textId="77777777" w:rsidR="00CB31C5" w:rsidRPr="00FB6E60" w:rsidRDefault="00CB31C5" w:rsidP="00CB31C5">
      <w:pPr>
        <w:rPr>
          <w:rFonts w:cs="Arial"/>
          <w:bCs/>
          <w:sz w:val="24"/>
          <w:szCs w:val="24"/>
        </w:rPr>
      </w:pPr>
      <w:r w:rsidRPr="00FB6E60">
        <w:rPr>
          <w:rFonts w:cs="Arial"/>
          <w:bCs/>
          <w:sz w:val="24"/>
          <w:szCs w:val="24"/>
        </w:rPr>
        <w:t>Tel: 0300 322 7072 (option 7)</w:t>
      </w:r>
    </w:p>
    <w:p w14:paraId="73067AAD" w14:textId="77777777" w:rsidR="00CB31C5" w:rsidRPr="00FB6E60" w:rsidRDefault="00CB31C5" w:rsidP="00CB31C5">
      <w:pPr>
        <w:rPr>
          <w:rFonts w:cs="Arial"/>
          <w:bCs/>
          <w:sz w:val="24"/>
          <w:szCs w:val="24"/>
        </w:rPr>
      </w:pPr>
    </w:p>
    <w:p w14:paraId="5A9D4172"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Gravesham Borough Council</w:t>
      </w:r>
    </w:p>
    <w:p w14:paraId="5DE4A354"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Planning and Regeneration Services</w:t>
      </w:r>
    </w:p>
    <w:p w14:paraId="275AC374"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Civic Centre</w:t>
      </w:r>
    </w:p>
    <w:p w14:paraId="60090F3B"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Windmill Street</w:t>
      </w:r>
    </w:p>
    <w:p w14:paraId="569A3F52"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Gravesend</w:t>
      </w:r>
    </w:p>
    <w:p w14:paraId="767C1469"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Kent</w:t>
      </w:r>
    </w:p>
    <w:p w14:paraId="1128085E" w14:textId="77777777" w:rsidR="00CB31C5" w:rsidRPr="00FB6E60" w:rsidRDefault="00CB31C5" w:rsidP="00CB31C5">
      <w:pPr>
        <w:pStyle w:val="Header"/>
        <w:tabs>
          <w:tab w:val="clear" w:pos="4153"/>
          <w:tab w:val="clear" w:pos="8306"/>
        </w:tabs>
        <w:rPr>
          <w:rFonts w:cs="Arial"/>
          <w:bCs/>
          <w:sz w:val="24"/>
          <w:szCs w:val="24"/>
        </w:rPr>
      </w:pPr>
      <w:r w:rsidRPr="00FB6E60">
        <w:rPr>
          <w:rFonts w:cs="Arial"/>
          <w:bCs/>
          <w:sz w:val="24"/>
          <w:szCs w:val="24"/>
        </w:rPr>
        <w:t>DA12 1AU</w:t>
      </w:r>
    </w:p>
    <w:p w14:paraId="47D5BA51" w14:textId="77777777" w:rsidR="00CB31C5" w:rsidRPr="00FB6E60" w:rsidRDefault="00CB31C5" w:rsidP="00CB31C5">
      <w:pPr>
        <w:pStyle w:val="Default"/>
        <w:rPr>
          <w:color w:val="auto"/>
        </w:rPr>
      </w:pPr>
      <w:hyperlink r:id="rId28" w:history="1">
        <w:r w:rsidRPr="00FB6E60">
          <w:rPr>
            <w:rStyle w:val="Hyperlink"/>
            <w:bCs/>
          </w:rPr>
          <w:t>planning.admin@gravesham.gov.uk</w:t>
        </w:r>
      </w:hyperlink>
      <w:r w:rsidRPr="00FB6E60">
        <w:rPr>
          <w:bCs/>
          <w:color w:val="auto"/>
        </w:rPr>
        <w:t xml:space="preserve">  </w:t>
      </w:r>
    </w:p>
    <w:p w14:paraId="6D5989CB" w14:textId="77777777" w:rsidR="00CB31C5" w:rsidRPr="00FB6E60" w:rsidRDefault="00CB31C5" w:rsidP="00CB31C5">
      <w:pPr>
        <w:rPr>
          <w:rFonts w:cs="Arial"/>
          <w:bCs/>
          <w:sz w:val="24"/>
          <w:szCs w:val="24"/>
        </w:rPr>
      </w:pPr>
      <w:r w:rsidRPr="00FB6E60">
        <w:rPr>
          <w:rFonts w:cs="Arial"/>
          <w:bCs/>
          <w:sz w:val="24"/>
          <w:szCs w:val="24"/>
        </w:rPr>
        <w:t>01474 33 73 91</w:t>
      </w:r>
    </w:p>
    <w:p w14:paraId="667BC61F" w14:textId="77777777" w:rsidR="00666589" w:rsidRPr="00666589" w:rsidRDefault="00666589" w:rsidP="00666589">
      <w:pPr>
        <w:rPr>
          <w:lang w:eastAsia="en-US"/>
        </w:rPr>
      </w:pPr>
    </w:p>
    <w:p w14:paraId="657DB3BC" w14:textId="77777777" w:rsidR="00AF1C9B" w:rsidRPr="00164E68" w:rsidRDefault="00AF1C9B" w:rsidP="008D6739">
      <w:pPr>
        <w:pStyle w:val="Header"/>
        <w:tabs>
          <w:tab w:val="clear" w:pos="4153"/>
          <w:tab w:val="clear" w:pos="8306"/>
        </w:tabs>
        <w:rPr>
          <w:rFonts w:cs="Tahoma"/>
          <w:b/>
          <w:bCs/>
        </w:rPr>
      </w:pPr>
    </w:p>
    <w:p w14:paraId="746A4111" w14:textId="77777777" w:rsidR="00200B8B" w:rsidRDefault="00200B8B" w:rsidP="008D6739">
      <w:pPr>
        <w:jc w:val="right"/>
        <w:rPr>
          <w:b/>
          <w:bCs/>
        </w:rPr>
      </w:pPr>
    </w:p>
    <w:p w14:paraId="2B4F100E" w14:textId="77777777" w:rsidR="00A6300F" w:rsidRDefault="00A6300F" w:rsidP="008D6739">
      <w:pPr>
        <w:jc w:val="right"/>
        <w:rPr>
          <w:b/>
          <w:bCs/>
        </w:rPr>
      </w:pPr>
    </w:p>
    <w:p w14:paraId="1327ABB3" w14:textId="77777777" w:rsidR="00AF1C9B" w:rsidRPr="001342F7" w:rsidRDefault="00A73C7B" w:rsidP="00CB31C5">
      <w:pPr>
        <w:pStyle w:val="Heading2"/>
      </w:pPr>
      <w:r>
        <w:t>Appendix 5</w:t>
      </w:r>
    </w:p>
    <w:p w14:paraId="55F5E290" w14:textId="2556B75B" w:rsidR="00CB31C5" w:rsidRDefault="00CB31C5" w:rsidP="00CB31C5">
      <w:r>
        <w:t xml:space="preserve">List of consultees </w:t>
      </w:r>
    </w:p>
    <w:p w14:paraId="4895E0AB" w14:textId="77777777" w:rsidR="007E611A" w:rsidRPr="00DD0A6F" w:rsidRDefault="007E611A" w:rsidP="008D6739">
      <w:pPr>
        <w:pStyle w:val="ListParagraph"/>
        <w:numPr>
          <w:ilvl w:val="0"/>
          <w:numId w:val="18"/>
        </w:numPr>
        <w:spacing w:after="0" w:line="240" w:lineRule="auto"/>
        <w:ind w:hanging="1440"/>
      </w:pPr>
      <w:r w:rsidRPr="00DD0A6F">
        <w:t>All Ward Councillors</w:t>
      </w:r>
    </w:p>
    <w:p w14:paraId="38D8DB4F" w14:textId="77777777" w:rsidR="007E611A" w:rsidRPr="00DD0A6F" w:rsidRDefault="007E611A" w:rsidP="008D6739">
      <w:pPr>
        <w:pStyle w:val="ListParagraph"/>
        <w:numPr>
          <w:ilvl w:val="0"/>
          <w:numId w:val="18"/>
        </w:numPr>
        <w:spacing w:after="0" w:line="240" w:lineRule="auto"/>
        <w:ind w:hanging="1440"/>
      </w:pPr>
      <w:r w:rsidRPr="00DD0A6F">
        <w:t>Parish Councils</w:t>
      </w:r>
    </w:p>
    <w:p w14:paraId="726241B5" w14:textId="77777777" w:rsidR="007E611A" w:rsidRPr="00DD0A6F" w:rsidRDefault="007E611A" w:rsidP="008D6739">
      <w:pPr>
        <w:pStyle w:val="ListParagraph"/>
        <w:numPr>
          <w:ilvl w:val="0"/>
          <w:numId w:val="18"/>
        </w:numPr>
        <w:spacing w:after="0" w:line="240" w:lineRule="auto"/>
        <w:ind w:hanging="1440"/>
      </w:pPr>
      <w:r w:rsidRPr="00DD0A6F">
        <w:t xml:space="preserve">All bodies designated under s.157 of the Act as Responsible Authorities </w:t>
      </w:r>
    </w:p>
    <w:p w14:paraId="3E7FBF0E" w14:textId="77777777" w:rsidR="007E611A" w:rsidRPr="00DD0A6F" w:rsidRDefault="007E611A" w:rsidP="008D6739">
      <w:pPr>
        <w:pStyle w:val="ListParagraph"/>
        <w:numPr>
          <w:ilvl w:val="0"/>
          <w:numId w:val="18"/>
        </w:numPr>
        <w:spacing w:after="0" w:line="240" w:lineRule="auto"/>
        <w:ind w:hanging="1440"/>
      </w:pPr>
      <w:r w:rsidRPr="00DD0A6F">
        <w:t>Kent County Council Trading Standards</w:t>
      </w:r>
    </w:p>
    <w:p w14:paraId="45D15121" w14:textId="77777777" w:rsidR="007E611A" w:rsidRPr="00DD0A6F" w:rsidRDefault="007E611A" w:rsidP="008D6739">
      <w:pPr>
        <w:pStyle w:val="ListParagraph"/>
        <w:numPr>
          <w:ilvl w:val="0"/>
          <w:numId w:val="18"/>
        </w:numPr>
        <w:spacing w:after="0" w:line="240" w:lineRule="auto"/>
        <w:ind w:hanging="1440"/>
      </w:pPr>
      <w:r w:rsidRPr="00DD0A6F">
        <w:t>Association of British Bookmakers</w:t>
      </w:r>
    </w:p>
    <w:p w14:paraId="0A223F0D" w14:textId="77777777" w:rsidR="007E611A" w:rsidRPr="00DD0A6F" w:rsidRDefault="007E611A" w:rsidP="008D6739">
      <w:pPr>
        <w:pStyle w:val="ListParagraph"/>
        <w:numPr>
          <w:ilvl w:val="0"/>
          <w:numId w:val="18"/>
        </w:numPr>
        <w:spacing w:after="0" w:line="240" w:lineRule="auto"/>
        <w:ind w:hanging="1440"/>
      </w:pPr>
      <w:r w:rsidRPr="00DD0A6F">
        <w:t>National Casino Forum</w:t>
      </w:r>
    </w:p>
    <w:p w14:paraId="5ED983F4" w14:textId="77777777" w:rsidR="007E611A" w:rsidRPr="00DD0A6F" w:rsidRDefault="007E611A" w:rsidP="008D6739">
      <w:pPr>
        <w:pStyle w:val="ListParagraph"/>
        <w:numPr>
          <w:ilvl w:val="0"/>
          <w:numId w:val="18"/>
        </w:numPr>
        <w:spacing w:after="0" w:line="240" w:lineRule="auto"/>
        <w:ind w:hanging="1440"/>
      </w:pPr>
      <w:r w:rsidRPr="00DD0A6F">
        <w:t>British Amusement Catering Trade Association</w:t>
      </w:r>
    </w:p>
    <w:p w14:paraId="59A80440" w14:textId="77777777" w:rsidR="007E611A" w:rsidRPr="00DD0A6F" w:rsidRDefault="007E611A" w:rsidP="008D6739">
      <w:pPr>
        <w:pStyle w:val="ListParagraph"/>
        <w:numPr>
          <w:ilvl w:val="0"/>
          <w:numId w:val="18"/>
        </w:numPr>
        <w:spacing w:after="0" w:line="240" w:lineRule="auto"/>
        <w:ind w:hanging="1440"/>
      </w:pPr>
      <w:r w:rsidRPr="00DD0A6F">
        <w:lastRenderedPageBreak/>
        <w:t>Bingo Association</w:t>
      </w:r>
    </w:p>
    <w:p w14:paraId="1DB7F893" w14:textId="77777777" w:rsidR="007E611A" w:rsidRPr="00DD0A6F" w:rsidRDefault="007E611A" w:rsidP="008D6739">
      <w:pPr>
        <w:pStyle w:val="ListParagraph"/>
        <w:numPr>
          <w:ilvl w:val="0"/>
          <w:numId w:val="18"/>
        </w:numPr>
        <w:spacing w:after="0" w:line="240" w:lineRule="auto"/>
        <w:ind w:hanging="1440"/>
      </w:pPr>
      <w:r w:rsidRPr="00DD0A6F">
        <w:t>The British Horseracing Authority Limited</w:t>
      </w:r>
    </w:p>
    <w:p w14:paraId="35C7D367" w14:textId="77777777" w:rsidR="007E611A" w:rsidRPr="00DD0A6F" w:rsidRDefault="007E611A" w:rsidP="008D6739">
      <w:pPr>
        <w:pStyle w:val="ListParagraph"/>
        <w:numPr>
          <w:ilvl w:val="0"/>
          <w:numId w:val="18"/>
        </w:numPr>
        <w:spacing w:after="0" w:line="240" w:lineRule="auto"/>
        <w:ind w:hanging="1440"/>
      </w:pPr>
      <w:r w:rsidRPr="00DD0A6F">
        <w:t>The Greyhound Board of Great Britain</w:t>
      </w:r>
    </w:p>
    <w:p w14:paraId="4E05F281" w14:textId="77777777" w:rsidR="007E611A" w:rsidRPr="00DD0A6F" w:rsidRDefault="007E611A" w:rsidP="008D6739">
      <w:pPr>
        <w:pStyle w:val="ListParagraph"/>
        <w:numPr>
          <w:ilvl w:val="0"/>
          <w:numId w:val="18"/>
        </w:numPr>
        <w:spacing w:after="0" w:line="240" w:lineRule="auto"/>
        <w:ind w:hanging="1440"/>
      </w:pPr>
      <w:r w:rsidRPr="00DD0A6F">
        <w:t>British Beer and Pub Association</w:t>
      </w:r>
    </w:p>
    <w:p w14:paraId="553521C5" w14:textId="77777777" w:rsidR="007E611A" w:rsidRPr="00DD0A6F" w:rsidRDefault="007E611A" w:rsidP="008D6739">
      <w:pPr>
        <w:pStyle w:val="ListParagraph"/>
        <w:numPr>
          <w:ilvl w:val="0"/>
          <w:numId w:val="18"/>
        </w:numPr>
        <w:spacing w:after="0" w:line="240" w:lineRule="auto"/>
        <w:ind w:hanging="1440"/>
      </w:pPr>
      <w:r w:rsidRPr="00DD0A6F">
        <w:t>British Institute of Innkeeping</w:t>
      </w:r>
    </w:p>
    <w:p w14:paraId="725D5369" w14:textId="77777777" w:rsidR="007E611A" w:rsidRPr="00DD0A6F" w:rsidRDefault="007E611A" w:rsidP="008D6739">
      <w:pPr>
        <w:pStyle w:val="ListParagraph"/>
        <w:numPr>
          <w:ilvl w:val="0"/>
          <w:numId w:val="18"/>
        </w:numPr>
        <w:spacing w:after="0" w:line="240" w:lineRule="auto"/>
        <w:ind w:hanging="1440"/>
      </w:pPr>
      <w:r w:rsidRPr="00DD0A6F">
        <w:t>Gamblers Anonymous UK</w:t>
      </w:r>
    </w:p>
    <w:p w14:paraId="0155E2FA" w14:textId="77777777" w:rsidR="007E611A" w:rsidRPr="00DD0A6F" w:rsidRDefault="007E611A" w:rsidP="008D6739">
      <w:pPr>
        <w:pStyle w:val="ListParagraph"/>
        <w:numPr>
          <w:ilvl w:val="0"/>
          <w:numId w:val="18"/>
        </w:numPr>
        <w:spacing w:after="0" w:line="240" w:lineRule="auto"/>
        <w:ind w:hanging="1440"/>
      </w:pPr>
      <w:proofErr w:type="spellStart"/>
      <w:r w:rsidRPr="00DD0A6F">
        <w:t>Gamcare</w:t>
      </w:r>
      <w:proofErr w:type="spellEnd"/>
      <w:r w:rsidRPr="00DD0A6F">
        <w:t xml:space="preserve"> </w:t>
      </w:r>
    </w:p>
    <w:p w14:paraId="56F13FCD" w14:textId="77777777" w:rsidR="007E611A" w:rsidRPr="00DD0A6F" w:rsidRDefault="007E611A" w:rsidP="008D6739">
      <w:pPr>
        <w:pStyle w:val="ListParagraph"/>
        <w:numPr>
          <w:ilvl w:val="0"/>
          <w:numId w:val="18"/>
        </w:numPr>
        <w:spacing w:after="0" w:line="240" w:lineRule="auto"/>
        <w:ind w:hanging="1440"/>
      </w:pPr>
      <w:r w:rsidRPr="00DD0A6F">
        <w:t xml:space="preserve">Be Gamble Aware </w:t>
      </w:r>
    </w:p>
    <w:p w14:paraId="0029710C" w14:textId="77777777" w:rsidR="007E611A" w:rsidRPr="00DD0A6F" w:rsidRDefault="007E611A" w:rsidP="008D6739">
      <w:pPr>
        <w:pStyle w:val="ListParagraph"/>
        <w:numPr>
          <w:ilvl w:val="0"/>
          <w:numId w:val="18"/>
        </w:numPr>
        <w:spacing w:after="0" w:line="240" w:lineRule="auto"/>
        <w:ind w:hanging="1440"/>
      </w:pPr>
      <w:r w:rsidRPr="00DD0A6F">
        <w:t>National Problem Gambling Clinic</w:t>
      </w:r>
    </w:p>
    <w:p w14:paraId="50E28292" w14:textId="77777777" w:rsidR="007E611A" w:rsidRPr="00DD0A6F" w:rsidRDefault="007E611A" w:rsidP="008D6739">
      <w:pPr>
        <w:pStyle w:val="ListParagraph"/>
        <w:numPr>
          <w:ilvl w:val="0"/>
          <w:numId w:val="18"/>
        </w:numPr>
        <w:spacing w:after="0" w:line="240" w:lineRule="auto"/>
        <w:ind w:hanging="1440"/>
      </w:pPr>
      <w:r w:rsidRPr="00DD0A6F">
        <w:t>Responsible Gambling Trust</w:t>
      </w:r>
    </w:p>
    <w:p w14:paraId="1CB7F123" w14:textId="77777777" w:rsidR="007E611A" w:rsidRPr="00DD0A6F" w:rsidRDefault="007E611A" w:rsidP="008D6739">
      <w:pPr>
        <w:pStyle w:val="ListParagraph"/>
        <w:numPr>
          <w:ilvl w:val="0"/>
          <w:numId w:val="18"/>
        </w:numPr>
        <w:spacing w:after="0" w:line="240" w:lineRule="auto"/>
        <w:ind w:hanging="1440"/>
      </w:pPr>
      <w:r w:rsidRPr="00DD0A6F">
        <w:t>Samaritans</w:t>
      </w:r>
    </w:p>
    <w:p w14:paraId="57AA8243" w14:textId="77777777" w:rsidR="007E611A" w:rsidRPr="00DD0A6F" w:rsidRDefault="007E611A" w:rsidP="008D6739">
      <w:pPr>
        <w:pStyle w:val="ListParagraph"/>
        <w:numPr>
          <w:ilvl w:val="0"/>
          <w:numId w:val="18"/>
        </w:numPr>
        <w:spacing w:after="0" w:line="240" w:lineRule="auto"/>
        <w:ind w:hanging="1440"/>
      </w:pPr>
      <w:r w:rsidRPr="00DD0A6F">
        <w:t>Citizen Advice Bureaux</w:t>
      </w:r>
    </w:p>
    <w:p w14:paraId="4354272C" w14:textId="77777777" w:rsidR="007E611A" w:rsidRPr="00DD0A6F" w:rsidRDefault="007E611A" w:rsidP="008D6739">
      <w:pPr>
        <w:pStyle w:val="ListParagraph"/>
        <w:numPr>
          <w:ilvl w:val="0"/>
          <w:numId w:val="18"/>
        </w:numPr>
        <w:spacing w:after="0" w:line="240" w:lineRule="auto"/>
        <w:ind w:hanging="1440"/>
      </w:pPr>
      <w:r w:rsidRPr="00DD0A6F">
        <w:t>Gordon Moody Association</w:t>
      </w:r>
    </w:p>
    <w:p w14:paraId="0E6F8CDE" w14:textId="77777777" w:rsidR="007E611A" w:rsidRPr="00DD0A6F" w:rsidRDefault="007E611A" w:rsidP="008D6739">
      <w:pPr>
        <w:pStyle w:val="ListParagraph"/>
        <w:numPr>
          <w:ilvl w:val="0"/>
          <w:numId w:val="18"/>
        </w:numPr>
        <w:spacing w:after="0" w:line="240" w:lineRule="auto"/>
        <w:ind w:hanging="1440"/>
      </w:pPr>
      <w:r w:rsidRPr="00DD0A6F">
        <w:t>The Grand</w:t>
      </w:r>
    </w:p>
    <w:p w14:paraId="687BD7DE" w14:textId="77777777" w:rsidR="007E611A" w:rsidRPr="00DD0A6F" w:rsidRDefault="007E611A" w:rsidP="008D6739">
      <w:pPr>
        <w:pStyle w:val="ListParagraph"/>
        <w:numPr>
          <w:ilvl w:val="0"/>
          <w:numId w:val="18"/>
        </w:numPr>
        <w:spacing w:after="0" w:line="240" w:lineRule="auto"/>
        <w:ind w:hanging="1440"/>
      </w:pPr>
      <w:r w:rsidRPr="00DD0A6F">
        <w:t>B Smith</w:t>
      </w:r>
    </w:p>
    <w:p w14:paraId="72155AD4" w14:textId="77777777" w:rsidR="007E611A" w:rsidRPr="00DD0A6F" w:rsidRDefault="007E611A" w:rsidP="008D6739">
      <w:pPr>
        <w:pStyle w:val="ListParagraph"/>
        <w:numPr>
          <w:ilvl w:val="0"/>
          <w:numId w:val="18"/>
        </w:numPr>
        <w:spacing w:after="0" w:line="240" w:lineRule="auto"/>
        <w:ind w:hanging="1440"/>
      </w:pPr>
      <w:r w:rsidRPr="00DD0A6F">
        <w:t>Coral</w:t>
      </w:r>
    </w:p>
    <w:p w14:paraId="384A6888" w14:textId="77777777" w:rsidR="007E611A" w:rsidRPr="00DD0A6F" w:rsidRDefault="007E611A" w:rsidP="008D6739">
      <w:pPr>
        <w:pStyle w:val="ListParagraph"/>
        <w:numPr>
          <w:ilvl w:val="0"/>
          <w:numId w:val="18"/>
        </w:numPr>
        <w:spacing w:after="0" w:line="240" w:lineRule="auto"/>
        <w:ind w:hanging="1440"/>
      </w:pPr>
      <w:r w:rsidRPr="00DD0A6F">
        <w:t>Ladbrokes</w:t>
      </w:r>
    </w:p>
    <w:p w14:paraId="19990A71" w14:textId="77777777" w:rsidR="007E611A" w:rsidRPr="00DD0A6F" w:rsidRDefault="007E611A" w:rsidP="008D6739">
      <w:pPr>
        <w:pStyle w:val="ListParagraph"/>
        <w:numPr>
          <w:ilvl w:val="0"/>
          <w:numId w:val="18"/>
        </w:numPr>
        <w:spacing w:after="0" w:line="240" w:lineRule="auto"/>
        <w:ind w:hanging="1440"/>
      </w:pPr>
      <w:r w:rsidRPr="00DD0A6F">
        <w:t>Power Leisure Bookmakers Ltd (Paddy Power)</w:t>
      </w:r>
    </w:p>
    <w:p w14:paraId="1F324D25" w14:textId="77777777" w:rsidR="007E611A" w:rsidRPr="00DD0A6F" w:rsidRDefault="007E611A" w:rsidP="00273BEE">
      <w:pPr>
        <w:pStyle w:val="ListParagraph"/>
        <w:numPr>
          <w:ilvl w:val="0"/>
          <w:numId w:val="18"/>
        </w:numPr>
        <w:spacing w:after="0" w:line="240" w:lineRule="auto"/>
        <w:ind w:hanging="1440"/>
      </w:pPr>
      <w:r w:rsidRPr="00DD0A6F">
        <w:t>Betfred</w:t>
      </w:r>
    </w:p>
    <w:p w14:paraId="67C651D7" w14:textId="77777777" w:rsidR="007E611A" w:rsidRDefault="007E611A" w:rsidP="008D6739">
      <w:pPr>
        <w:pStyle w:val="ListParagraph"/>
        <w:numPr>
          <w:ilvl w:val="0"/>
          <w:numId w:val="18"/>
        </w:numPr>
        <w:spacing w:after="0" w:line="240" w:lineRule="auto"/>
        <w:ind w:hanging="1440"/>
      </w:pPr>
      <w:r w:rsidRPr="00DD0A6F">
        <w:t>Luxury Leisure</w:t>
      </w:r>
    </w:p>
    <w:p w14:paraId="3E3E974C" w14:textId="77777777" w:rsidR="006935C1" w:rsidRDefault="006935C1" w:rsidP="008D6739">
      <w:pPr>
        <w:pStyle w:val="ListParagraph"/>
        <w:numPr>
          <w:ilvl w:val="0"/>
          <w:numId w:val="18"/>
        </w:numPr>
        <w:spacing w:after="0" w:line="240" w:lineRule="auto"/>
        <w:ind w:hanging="1440"/>
      </w:pPr>
      <w:proofErr w:type="spellStart"/>
      <w:r>
        <w:t>Megabet</w:t>
      </w:r>
      <w:proofErr w:type="spellEnd"/>
      <w:r>
        <w:t xml:space="preserve"> UK Ltd</w:t>
      </w:r>
    </w:p>
    <w:p w14:paraId="023F118F" w14:textId="77777777" w:rsidR="00D87632" w:rsidRDefault="00D87632" w:rsidP="008D6739">
      <w:pPr>
        <w:pStyle w:val="ListParagraph"/>
        <w:numPr>
          <w:ilvl w:val="0"/>
          <w:numId w:val="18"/>
        </w:numPr>
        <w:spacing w:after="0" w:line="240" w:lineRule="auto"/>
        <w:ind w:hanging="1440"/>
      </w:pPr>
      <w:r>
        <w:t>Licensed Victuallers Assoc</w:t>
      </w:r>
      <w:r w:rsidR="006643F2">
        <w:t>i</w:t>
      </w:r>
      <w:r>
        <w:t>ation</w:t>
      </w:r>
    </w:p>
    <w:p w14:paraId="48915159" w14:textId="77777777" w:rsidR="007E611A" w:rsidRPr="00DD0A6F" w:rsidRDefault="007E611A" w:rsidP="008D6739">
      <w:pPr>
        <w:pStyle w:val="ListParagraph"/>
        <w:numPr>
          <w:ilvl w:val="0"/>
          <w:numId w:val="18"/>
        </w:numPr>
        <w:spacing w:after="0" w:line="240" w:lineRule="auto"/>
        <w:ind w:hanging="1440"/>
      </w:pPr>
      <w:r>
        <w:t>The General Public</w:t>
      </w:r>
    </w:p>
    <w:p w14:paraId="09EA983B" w14:textId="77777777" w:rsidR="00AF1C9B" w:rsidRDefault="00AF1C9B" w:rsidP="008D6739">
      <w:pPr>
        <w:jc w:val="right"/>
      </w:pPr>
    </w:p>
    <w:p w14:paraId="07DED233" w14:textId="77777777" w:rsidR="00BB19DF" w:rsidRDefault="00BB19DF" w:rsidP="008D6739">
      <w:pPr>
        <w:jc w:val="right"/>
      </w:pPr>
    </w:p>
    <w:p w14:paraId="0A329BF0" w14:textId="77777777" w:rsidR="00BB19DF" w:rsidRDefault="00BB19DF" w:rsidP="008D6739">
      <w:pPr>
        <w:jc w:val="right"/>
      </w:pPr>
    </w:p>
    <w:p w14:paraId="5294FC82" w14:textId="77777777" w:rsidR="00BB19DF" w:rsidRDefault="00BB19DF" w:rsidP="008D6739">
      <w:pPr>
        <w:jc w:val="right"/>
      </w:pPr>
    </w:p>
    <w:p w14:paraId="38A7FB84" w14:textId="77777777" w:rsidR="00BB19DF" w:rsidRDefault="00BB19DF" w:rsidP="008D6739">
      <w:pPr>
        <w:jc w:val="right"/>
      </w:pPr>
    </w:p>
    <w:p w14:paraId="1F68CD33" w14:textId="77777777" w:rsidR="006E1DBE" w:rsidRDefault="006E1DBE" w:rsidP="008D6739">
      <w:pPr>
        <w:jc w:val="right"/>
      </w:pPr>
    </w:p>
    <w:p w14:paraId="1294D3A1" w14:textId="77777777" w:rsidR="00AF1C9B" w:rsidRDefault="00AF1C9B" w:rsidP="008D6739">
      <w:pPr>
        <w:jc w:val="right"/>
      </w:pPr>
    </w:p>
    <w:p w14:paraId="72878082" w14:textId="77777777" w:rsidR="00AF1C9B" w:rsidRDefault="00AF1C9B" w:rsidP="008D6739">
      <w:pPr>
        <w:jc w:val="right"/>
      </w:pPr>
    </w:p>
    <w:p w14:paraId="5359DDD5" w14:textId="77777777" w:rsidR="00AF1C9B" w:rsidRDefault="00AF1C9B" w:rsidP="008D6739">
      <w:pPr>
        <w:jc w:val="right"/>
      </w:pPr>
    </w:p>
    <w:p w14:paraId="39A00FB8" w14:textId="77777777" w:rsidR="00AF1C9B" w:rsidRDefault="00AF1C9B" w:rsidP="008D6739">
      <w:pPr>
        <w:jc w:val="right"/>
      </w:pPr>
    </w:p>
    <w:p w14:paraId="4C87C96E" w14:textId="77777777" w:rsidR="00AF1C9B" w:rsidRDefault="00AF1C9B" w:rsidP="008D6739">
      <w:pPr>
        <w:jc w:val="right"/>
      </w:pPr>
    </w:p>
    <w:p w14:paraId="104754A9" w14:textId="77777777" w:rsidR="00AF1C9B" w:rsidRDefault="00AF1C9B" w:rsidP="008D6739">
      <w:pPr>
        <w:jc w:val="right"/>
      </w:pPr>
    </w:p>
    <w:p w14:paraId="1B8786C0" w14:textId="77777777" w:rsidR="00AF1C9B" w:rsidRDefault="00AF1C9B" w:rsidP="008D6739">
      <w:pPr>
        <w:jc w:val="right"/>
      </w:pPr>
    </w:p>
    <w:p w14:paraId="394945CC" w14:textId="77777777" w:rsidR="00AF1C9B" w:rsidRDefault="00AF1C9B" w:rsidP="008D6739">
      <w:pPr>
        <w:jc w:val="right"/>
      </w:pPr>
    </w:p>
    <w:p w14:paraId="4B0778FA" w14:textId="77777777" w:rsidR="00AF1C9B" w:rsidRDefault="00AF1C9B" w:rsidP="008D6739">
      <w:pPr>
        <w:jc w:val="right"/>
      </w:pPr>
    </w:p>
    <w:p w14:paraId="78B8EECD" w14:textId="77777777" w:rsidR="00264B39" w:rsidRDefault="00264B39" w:rsidP="008D6739">
      <w:pPr>
        <w:jc w:val="right"/>
      </w:pPr>
    </w:p>
    <w:p w14:paraId="69AE2276" w14:textId="77777777" w:rsidR="00AF1C9B" w:rsidRDefault="00AF1C9B" w:rsidP="008D6739">
      <w:pPr>
        <w:jc w:val="right"/>
      </w:pPr>
    </w:p>
    <w:p w14:paraId="586CE999" w14:textId="77777777" w:rsidR="00AF1C9B" w:rsidRDefault="00AF1C9B" w:rsidP="008D6739">
      <w:pPr>
        <w:jc w:val="right"/>
      </w:pPr>
    </w:p>
    <w:p w14:paraId="654A7F87" w14:textId="77777777" w:rsidR="00AF1C9B" w:rsidRDefault="004E4E1C" w:rsidP="00CB31C5">
      <w:pPr>
        <w:pStyle w:val="Heading2"/>
      </w:pPr>
      <w:r>
        <w:rPr>
          <w:color w:val="FF0000"/>
        </w:rPr>
        <w:t xml:space="preserve"> </w:t>
      </w:r>
      <w:r w:rsidR="00AF1C9B" w:rsidRPr="001342F7">
        <w:t>Appendix</w:t>
      </w:r>
      <w:r w:rsidR="00713CBE">
        <w:t xml:space="preserve"> 6</w:t>
      </w:r>
    </w:p>
    <w:p w14:paraId="760B3BED" w14:textId="77777777" w:rsidR="00BA5031" w:rsidRDefault="00BA5031" w:rsidP="008D6739">
      <w:pPr>
        <w:jc w:val="right"/>
        <w:rPr>
          <w:b/>
          <w:bCs/>
        </w:rPr>
      </w:pPr>
    </w:p>
    <w:p w14:paraId="2806E3CB" w14:textId="77777777" w:rsidR="00BA5031" w:rsidRPr="00CB31C5" w:rsidRDefault="00BA5031" w:rsidP="00CB31C5">
      <w:pPr>
        <w:pStyle w:val="Heading3"/>
        <w:rPr>
          <w:b/>
          <w:bCs/>
          <w:u w:val="none"/>
        </w:rPr>
      </w:pPr>
      <w:r w:rsidRPr="00CB31C5">
        <w:rPr>
          <w:b/>
          <w:bCs/>
          <w:u w:val="none"/>
        </w:rPr>
        <w:t>Machine Entitlements</w:t>
      </w:r>
    </w:p>
    <w:p w14:paraId="2B5D9D6B" w14:textId="77777777" w:rsidR="00863975" w:rsidRDefault="00863975" w:rsidP="008D6739">
      <w:pPr>
        <w:jc w:val="right"/>
        <w:rPr>
          <w:b/>
          <w:bCs/>
        </w:rPr>
      </w:pPr>
    </w:p>
    <w:p w14:paraId="416CCDF7" w14:textId="77777777" w:rsidR="009D4DC0" w:rsidRDefault="00450022" w:rsidP="008D6739">
      <w:pPr>
        <w:jc w:val="right"/>
        <w:rPr>
          <w:b/>
          <w:bCs/>
        </w:rPr>
      </w:pPr>
      <w:r w:rsidRPr="0055391D">
        <w:rPr>
          <w:noProof/>
        </w:rPr>
        <w:lastRenderedPageBreak/>
        <w:drawing>
          <wp:inline distT="0" distB="0" distL="0" distR="0" wp14:anchorId="387698F0" wp14:editId="33703C6B">
            <wp:extent cx="5334000" cy="62007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34000" cy="6200775"/>
                    </a:xfrm>
                    <a:prstGeom prst="rect">
                      <a:avLst/>
                    </a:prstGeom>
                    <a:noFill/>
                    <a:ln>
                      <a:noFill/>
                    </a:ln>
                  </pic:spPr>
                </pic:pic>
              </a:graphicData>
            </a:graphic>
          </wp:inline>
        </w:drawing>
      </w:r>
    </w:p>
    <w:p w14:paraId="06264A23" w14:textId="77777777" w:rsidR="00AF1C9B" w:rsidRDefault="00AF1C9B" w:rsidP="008D6739"/>
    <w:p w14:paraId="05F6C62F" w14:textId="77777777" w:rsidR="00AF1C9B" w:rsidRDefault="00AF1C9B" w:rsidP="008D6739"/>
    <w:p w14:paraId="671DA5A8" w14:textId="77777777" w:rsidR="002B2FAD" w:rsidRDefault="002B2FAD" w:rsidP="008D6739">
      <w:pPr>
        <w:pStyle w:val="Default"/>
        <w:rPr>
          <w:sz w:val="16"/>
          <w:szCs w:val="16"/>
        </w:rPr>
      </w:pPr>
      <w:r>
        <w:rPr>
          <w:sz w:val="10"/>
          <w:szCs w:val="10"/>
        </w:rPr>
        <w:t>1</w:t>
      </w:r>
      <w:r>
        <w:rPr>
          <w:sz w:val="16"/>
          <w:szCs w:val="16"/>
        </w:rPr>
        <w:t xml:space="preserve">Bingo premises licence are entitled to make available for use </w:t>
      </w:r>
      <w:proofErr w:type="gramStart"/>
      <w:r>
        <w:rPr>
          <w:sz w:val="16"/>
          <w:szCs w:val="16"/>
        </w:rPr>
        <w:t>a number of</w:t>
      </w:r>
      <w:proofErr w:type="gramEnd"/>
      <w:r>
        <w:rPr>
          <w:sz w:val="16"/>
          <w:szCs w:val="16"/>
        </w:rPr>
        <w:t xml:space="preserve"> category B gaming machines not exceeding 20% of the total number of gaming machines on the premises. Where a premises licence was granted before 13 July 2011, they are entitled to make available eight</w:t>
      </w:r>
      <w:r>
        <w:rPr>
          <w:sz w:val="10"/>
          <w:szCs w:val="10"/>
        </w:rPr>
        <w:t xml:space="preserve">104 </w:t>
      </w:r>
      <w:r>
        <w:rPr>
          <w:sz w:val="16"/>
          <w:szCs w:val="16"/>
        </w:rPr>
        <w:t xml:space="preserve">category B gaming machines, or 20% of the total number of gaming machines, whichever is the greater. Category B machines at bingo premises are restricted to sub-category B3 and B4 machines, but not B3A machines. </w:t>
      </w:r>
    </w:p>
    <w:p w14:paraId="7768FACA" w14:textId="77777777" w:rsidR="00AF1C9B" w:rsidRDefault="002B2FAD" w:rsidP="008D6739">
      <w:r>
        <w:rPr>
          <w:sz w:val="10"/>
          <w:szCs w:val="10"/>
        </w:rPr>
        <w:t xml:space="preserve">2 </w:t>
      </w:r>
      <w:r>
        <w:rPr>
          <w:sz w:val="16"/>
          <w:szCs w:val="16"/>
        </w:rPr>
        <w:t xml:space="preserve">Adult gaming centres are entitled to make available for use </w:t>
      </w:r>
      <w:proofErr w:type="gramStart"/>
      <w:r>
        <w:rPr>
          <w:sz w:val="16"/>
          <w:szCs w:val="16"/>
        </w:rPr>
        <w:t>a number of</w:t>
      </w:r>
      <w:proofErr w:type="gramEnd"/>
      <w:r>
        <w:rPr>
          <w:sz w:val="16"/>
          <w:szCs w:val="16"/>
        </w:rPr>
        <w:t xml:space="preserve"> category B gaming machines not exceeding 20% of the total number of gaming machines which are available for use on the premises and any number of category C or D machines. Where a premises licence was granted before 13 July 2011, they are entitled to make available four category B gaming machines, or 20% of the total number of gaming machines, whichever is the greater. Category B machines at adult gaming centres are restricted to sub-category B3 and B4 machines, but not B3A machines.</w:t>
      </w:r>
    </w:p>
    <w:p w14:paraId="116A12A5" w14:textId="77777777" w:rsidR="0084513A" w:rsidRDefault="0084513A" w:rsidP="008D6739"/>
    <w:p w14:paraId="2D59EFC7" w14:textId="77777777" w:rsidR="002D3FDF" w:rsidRDefault="002D3FDF" w:rsidP="008D6739">
      <w:pPr>
        <w:jc w:val="right"/>
        <w:rPr>
          <w:b/>
          <w:bCs/>
        </w:rPr>
      </w:pPr>
    </w:p>
    <w:p w14:paraId="6E5062BB" w14:textId="77777777" w:rsidR="00AF1C9B" w:rsidRPr="001342F7" w:rsidRDefault="00713CBE" w:rsidP="00CB31C5">
      <w:pPr>
        <w:pStyle w:val="Heading2"/>
      </w:pPr>
      <w:r>
        <w:t>Appendix 7</w:t>
      </w:r>
    </w:p>
    <w:p w14:paraId="1CE89E0A" w14:textId="77777777" w:rsidR="00BA5031" w:rsidRPr="00CB31C5" w:rsidRDefault="00BA5031" w:rsidP="00CB31C5">
      <w:pPr>
        <w:pStyle w:val="Heading3"/>
        <w:rPr>
          <w:b/>
          <w:bCs/>
          <w:u w:val="none"/>
        </w:rPr>
      </w:pPr>
      <w:r w:rsidRPr="00CB31C5">
        <w:rPr>
          <w:b/>
          <w:bCs/>
          <w:u w:val="none"/>
        </w:rPr>
        <w:t>Delegations</w:t>
      </w:r>
    </w:p>
    <w:p w14:paraId="2303B416" w14:textId="77777777" w:rsidR="00AF1C9B" w:rsidRDefault="00AF1C9B" w:rsidP="008D6739"/>
    <w:tbl>
      <w:tblPr>
        <w:tblStyle w:val="ListTable3-Accent5"/>
        <w:tblW w:w="9468" w:type="dxa"/>
        <w:tblLook w:val="01E0" w:firstRow="1" w:lastRow="1" w:firstColumn="1" w:lastColumn="1" w:noHBand="0" w:noVBand="0"/>
        <w:tblCaption w:val="Delegations "/>
        <w:tblDescription w:val="Delegatiins"/>
      </w:tblPr>
      <w:tblGrid>
        <w:gridCol w:w="2564"/>
        <w:gridCol w:w="1595"/>
        <w:gridCol w:w="2464"/>
        <w:gridCol w:w="2845"/>
      </w:tblGrid>
      <w:tr w:rsidR="00AF1C9B" w14:paraId="1336DEDD" w14:textId="77777777" w:rsidTr="000575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64" w:type="dxa"/>
          </w:tcPr>
          <w:p w14:paraId="7450D374" w14:textId="77777777" w:rsidR="00AF1C9B" w:rsidRPr="00BD4CA1" w:rsidRDefault="00AF1C9B" w:rsidP="008D6739">
            <w:pPr>
              <w:jc w:val="center"/>
              <w:rPr>
                <w:b w:val="0"/>
                <w:bCs w:val="0"/>
                <w:szCs w:val="16"/>
              </w:rPr>
            </w:pPr>
            <w:r w:rsidRPr="00BD4CA1">
              <w:rPr>
                <w:szCs w:val="16"/>
              </w:rPr>
              <w:lastRenderedPageBreak/>
              <w:t>Matter to be dealt with</w:t>
            </w:r>
          </w:p>
        </w:tc>
        <w:tc>
          <w:tcPr>
            <w:cnfStyle w:val="000010000000" w:firstRow="0" w:lastRow="0" w:firstColumn="0" w:lastColumn="0" w:oddVBand="1" w:evenVBand="0" w:oddHBand="0" w:evenHBand="0" w:firstRowFirstColumn="0" w:firstRowLastColumn="0" w:lastRowFirstColumn="0" w:lastRowLastColumn="0"/>
            <w:tcW w:w="1595" w:type="dxa"/>
          </w:tcPr>
          <w:p w14:paraId="5BCCF6E9" w14:textId="77777777" w:rsidR="00AF1C9B" w:rsidRPr="00BD4CA1" w:rsidRDefault="00AF1C9B" w:rsidP="008D6739">
            <w:pPr>
              <w:jc w:val="center"/>
              <w:rPr>
                <w:b w:val="0"/>
                <w:bCs w:val="0"/>
                <w:szCs w:val="16"/>
              </w:rPr>
            </w:pPr>
            <w:r w:rsidRPr="00BD4CA1">
              <w:rPr>
                <w:szCs w:val="16"/>
              </w:rPr>
              <w:t>Full Council</w:t>
            </w:r>
          </w:p>
        </w:tc>
        <w:tc>
          <w:tcPr>
            <w:tcW w:w="2464" w:type="dxa"/>
          </w:tcPr>
          <w:p w14:paraId="61292687" w14:textId="77777777" w:rsidR="00AF1C9B" w:rsidRPr="00BD4CA1" w:rsidRDefault="00AF1C9B" w:rsidP="008D6739">
            <w:pPr>
              <w:jc w:val="center"/>
              <w:cnfStyle w:val="100000000000" w:firstRow="1" w:lastRow="0" w:firstColumn="0" w:lastColumn="0" w:oddVBand="0" w:evenVBand="0" w:oddHBand="0" w:evenHBand="0" w:firstRowFirstColumn="0" w:firstRowLastColumn="0" w:lastRowFirstColumn="0" w:lastRowLastColumn="0"/>
              <w:rPr>
                <w:b w:val="0"/>
                <w:bCs w:val="0"/>
                <w:szCs w:val="16"/>
              </w:rPr>
            </w:pPr>
            <w:r w:rsidRPr="00BD4CA1">
              <w:rPr>
                <w:szCs w:val="16"/>
              </w:rPr>
              <w:t>Sub-committee of licensing committee</w:t>
            </w:r>
          </w:p>
        </w:tc>
        <w:tc>
          <w:tcPr>
            <w:cnfStyle w:val="000100001000" w:firstRow="0" w:lastRow="0" w:firstColumn="0" w:lastColumn="1" w:oddVBand="0" w:evenVBand="0" w:oddHBand="0" w:evenHBand="0" w:firstRowFirstColumn="0" w:firstRowLastColumn="1" w:lastRowFirstColumn="0" w:lastRowLastColumn="0"/>
            <w:tcW w:w="2845" w:type="dxa"/>
          </w:tcPr>
          <w:p w14:paraId="02B7F9BD" w14:textId="77777777" w:rsidR="00AF1C9B" w:rsidRPr="00BD4CA1" w:rsidRDefault="00AF1C9B" w:rsidP="008D6739">
            <w:pPr>
              <w:jc w:val="center"/>
              <w:rPr>
                <w:b w:val="0"/>
                <w:bCs w:val="0"/>
                <w:szCs w:val="16"/>
              </w:rPr>
            </w:pPr>
            <w:r w:rsidRPr="00BD4CA1">
              <w:rPr>
                <w:szCs w:val="16"/>
              </w:rPr>
              <w:t>Officers</w:t>
            </w:r>
          </w:p>
          <w:p w14:paraId="66F48254" w14:textId="77777777" w:rsidR="00AF1C9B" w:rsidRPr="00BD4CA1" w:rsidRDefault="00AF1C9B" w:rsidP="008D6739">
            <w:pPr>
              <w:jc w:val="center"/>
              <w:rPr>
                <w:b w:val="0"/>
                <w:bCs w:val="0"/>
                <w:szCs w:val="16"/>
              </w:rPr>
            </w:pPr>
          </w:p>
          <w:p w14:paraId="4D38B2F9" w14:textId="77777777" w:rsidR="00AF1C9B" w:rsidRPr="00BD4CA1" w:rsidRDefault="00AF1C9B" w:rsidP="008D6739">
            <w:pPr>
              <w:jc w:val="center"/>
              <w:rPr>
                <w:b w:val="0"/>
                <w:bCs w:val="0"/>
                <w:szCs w:val="16"/>
              </w:rPr>
            </w:pPr>
          </w:p>
        </w:tc>
      </w:tr>
      <w:tr w:rsidR="00AF1C9B" w14:paraId="6301292C"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3B10870C" w14:textId="77777777" w:rsidR="00AF1C9B" w:rsidRPr="00BD4CA1" w:rsidRDefault="00AF1C9B" w:rsidP="008D6739">
            <w:pPr>
              <w:jc w:val="center"/>
              <w:rPr>
                <w:szCs w:val="16"/>
              </w:rPr>
            </w:pPr>
            <w:r w:rsidRPr="00BD4CA1">
              <w:rPr>
                <w:szCs w:val="16"/>
              </w:rPr>
              <w:t xml:space="preserve">Final approval of </w:t>
            </w:r>
            <w:proofErr w:type="gramStart"/>
            <w:r w:rsidRPr="00BD4CA1">
              <w:rPr>
                <w:szCs w:val="16"/>
              </w:rPr>
              <w:t>three year</w:t>
            </w:r>
            <w:proofErr w:type="gramEnd"/>
            <w:r w:rsidRPr="00BD4CA1">
              <w:rPr>
                <w:szCs w:val="16"/>
              </w:rPr>
              <w:t xml:space="preserve"> licensing policy</w:t>
            </w:r>
          </w:p>
        </w:tc>
        <w:tc>
          <w:tcPr>
            <w:cnfStyle w:val="000010000000" w:firstRow="0" w:lastRow="0" w:firstColumn="0" w:lastColumn="0" w:oddVBand="1" w:evenVBand="0" w:oddHBand="0" w:evenHBand="0" w:firstRowFirstColumn="0" w:firstRowLastColumn="0" w:lastRowFirstColumn="0" w:lastRowLastColumn="0"/>
            <w:tcW w:w="1595" w:type="dxa"/>
          </w:tcPr>
          <w:p w14:paraId="0419AB22" w14:textId="77777777" w:rsidR="00AF1C9B" w:rsidRPr="00BD4CA1" w:rsidRDefault="00AF1C9B" w:rsidP="008D6739">
            <w:pPr>
              <w:jc w:val="center"/>
              <w:rPr>
                <w:b/>
                <w:bCs/>
                <w:szCs w:val="16"/>
              </w:rPr>
            </w:pPr>
            <w:r w:rsidRPr="00BD4CA1">
              <w:rPr>
                <w:b/>
                <w:bCs/>
                <w:szCs w:val="16"/>
              </w:rPr>
              <w:t>X</w:t>
            </w:r>
          </w:p>
        </w:tc>
        <w:tc>
          <w:tcPr>
            <w:tcW w:w="2464" w:type="dxa"/>
          </w:tcPr>
          <w:p w14:paraId="67C6EDAC"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b/>
                <w:bCs/>
                <w:szCs w:val="16"/>
              </w:rPr>
            </w:pPr>
          </w:p>
        </w:tc>
        <w:tc>
          <w:tcPr>
            <w:cnfStyle w:val="000100000000" w:firstRow="0" w:lastRow="0" w:firstColumn="0" w:lastColumn="1" w:oddVBand="0" w:evenVBand="0" w:oddHBand="0" w:evenHBand="0" w:firstRowFirstColumn="0" w:firstRowLastColumn="0" w:lastRowFirstColumn="0" w:lastRowLastColumn="0"/>
            <w:tcW w:w="2845" w:type="dxa"/>
          </w:tcPr>
          <w:p w14:paraId="5598D3C6" w14:textId="77777777" w:rsidR="00AF1C9B" w:rsidRPr="00BD4CA1" w:rsidRDefault="00AF1C9B" w:rsidP="008D6739">
            <w:pPr>
              <w:jc w:val="center"/>
              <w:rPr>
                <w:b w:val="0"/>
                <w:bCs w:val="0"/>
                <w:szCs w:val="16"/>
              </w:rPr>
            </w:pPr>
          </w:p>
        </w:tc>
      </w:tr>
      <w:tr w:rsidR="00AF1C9B" w14:paraId="420C9EE1"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3E955972" w14:textId="77777777" w:rsidR="00AF1C9B" w:rsidRPr="00BD4CA1" w:rsidRDefault="00AF1C9B" w:rsidP="008D6739">
            <w:pPr>
              <w:jc w:val="center"/>
              <w:rPr>
                <w:szCs w:val="16"/>
              </w:rPr>
            </w:pPr>
            <w:r w:rsidRPr="00BD4CA1">
              <w:rPr>
                <w:szCs w:val="16"/>
              </w:rPr>
              <w:t>Policy not to permit casinos</w:t>
            </w:r>
          </w:p>
        </w:tc>
        <w:tc>
          <w:tcPr>
            <w:cnfStyle w:val="000010000000" w:firstRow="0" w:lastRow="0" w:firstColumn="0" w:lastColumn="0" w:oddVBand="1" w:evenVBand="0" w:oddHBand="0" w:evenHBand="0" w:firstRowFirstColumn="0" w:firstRowLastColumn="0" w:lastRowFirstColumn="0" w:lastRowLastColumn="0"/>
            <w:tcW w:w="1595" w:type="dxa"/>
          </w:tcPr>
          <w:p w14:paraId="029549CD" w14:textId="77777777" w:rsidR="00AF1C9B" w:rsidRPr="00BD4CA1" w:rsidRDefault="00AF1C9B" w:rsidP="008D6739">
            <w:pPr>
              <w:jc w:val="center"/>
              <w:rPr>
                <w:b/>
                <w:bCs/>
                <w:szCs w:val="16"/>
              </w:rPr>
            </w:pPr>
            <w:r w:rsidRPr="00BD4CA1">
              <w:rPr>
                <w:b/>
                <w:bCs/>
                <w:szCs w:val="16"/>
              </w:rPr>
              <w:t>X</w:t>
            </w:r>
          </w:p>
        </w:tc>
        <w:tc>
          <w:tcPr>
            <w:tcW w:w="2464" w:type="dxa"/>
          </w:tcPr>
          <w:p w14:paraId="343CF9B7"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b/>
                <w:bCs/>
                <w:szCs w:val="16"/>
              </w:rPr>
            </w:pPr>
          </w:p>
        </w:tc>
        <w:tc>
          <w:tcPr>
            <w:cnfStyle w:val="000100000000" w:firstRow="0" w:lastRow="0" w:firstColumn="0" w:lastColumn="1" w:oddVBand="0" w:evenVBand="0" w:oddHBand="0" w:evenHBand="0" w:firstRowFirstColumn="0" w:firstRowLastColumn="0" w:lastRowFirstColumn="0" w:lastRowLastColumn="0"/>
            <w:tcW w:w="2845" w:type="dxa"/>
          </w:tcPr>
          <w:p w14:paraId="2244BCD3" w14:textId="77777777" w:rsidR="00AF1C9B" w:rsidRPr="00BD4CA1" w:rsidRDefault="00AF1C9B" w:rsidP="008D6739">
            <w:pPr>
              <w:jc w:val="center"/>
              <w:rPr>
                <w:b w:val="0"/>
                <w:bCs w:val="0"/>
                <w:szCs w:val="16"/>
              </w:rPr>
            </w:pPr>
          </w:p>
        </w:tc>
      </w:tr>
      <w:tr w:rsidR="00AF1C9B" w14:paraId="131364FB"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7937E85D" w14:textId="77777777" w:rsidR="00AF1C9B" w:rsidRPr="00BD4CA1" w:rsidRDefault="00AF1C9B" w:rsidP="008D6739">
            <w:pPr>
              <w:jc w:val="center"/>
              <w:rPr>
                <w:szCs w:val="16"/>
              </w:rPr>
            </w:pPr>
            <w:r w:rsidRPr="00BD4CA1">
              <w:rPr>
                <w:szCs w:val="16"/>
              </w:rPr>
              <w:t>Fee setting (where appropriate)</w:t>
            </w:r>
          </w:p>
        </w:tc>
        <w:tc>
          <w:tcPr>
            <w:cnfStyle w:val="000010000000" w:firstRow="0" w:lastRow="0" w:firstColumn="0" w:lastColumn="0" w:oddVBand="1" w:evenVBand="0" w:oddHBand="0" w:evenHBand="0" w:firstRowFirstColumn="0" w:firstRowLastColumn="0" w:lastRowFirstColumn="0" w:lastRowLastColumn="0"/>
            <w:tcW w:w="1595" w:type="dxa"/>
          </w:tcPr>
          <w:p w14:paraId="70DA34B0" w14:textId="77777777" w:rsidR="00AF1C9B" w:rsidRPr="00BD4CA1" w:rsidRDefault="00AF1C9B" w:rsidP="008D6739">
            <w:pPr>
              <w:jc w:val="center"/>
              <w:rPr>
                <w:b/>
                <w:bCs/>
                <w:szCs w:val="16"/>
              </w:rPr>
            </w:pPr>
          </w:p>
        </w:tc>
        <w:tc>
          <w:tcPr>
            <w:tcW w:w="2464" w:type="dxa"/>
          </w:tcPr>
          <w:p w14:paraId="7E243C58"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b/>
                <w:bCs/>
                <w:szCs w:val="16"/>
              </w:rPr>
            </w:pPr>
          </w:p>
        </w:tc>
        <w:tc>
          <w:tcPr>
            <w:cnfStyle w:val="000100000000" w:firstRow="0" w:lastRow="0" w:firstColumn="0" w:lastColumn="1" w:oddVBand="0" w:evenVBand="0" w:oddHBand="0" w:evenHBand="0" w:firstRowFirstColumn="0" w:firstRowLastColumn="0" w:lastRowFirstColumn="0" w:lastRowLastColumn="0"/>
            <w:tcW w:w="2845" w:type="dxa"/>
          </w:tcPr>
          <w:p w14:paraId="4F2BF846" w14:textId="77777777" w:rsidR="00AF1C9B" w:rsidRPr="00BD4CA1" w:rsidRDefault="00AF1C9B" w:rsidP="008D6739">
            <w:pPr>
              <w:jc w:val="center"/>
              <w:rPr>
                <w:szCs w:val="16"/>
              </w:rPr>
            </w:pPr>
            <w:r w:rsidRPr="00BD4CA1">
              <w:rPr>
                <w:szCs w:val="16"/>
              </w:rPr>
              <w:t>Delegated to officers</w:t>
            </w:r>
          </w:p>
          <w:p w14:paraId="64E07C74" w14:textId="77777777" w:rsidR="00AF1C9B" w:rsidRPr="00BD4CA1" w:rsidRDefault="00AF1C9B" w:rsidP="008D6739">
            <w:pPr>
              <w:jc w:val="center"/>
              <w:rPr>
                <w:szCs w:val="16"/>
              </w:rPr>
            </w:pPr>
          </w:p>
        </w:tc>
      </w:tr>
      <w:tr w:rsidR="00AF1C9B" w14:paraId="2CF67B9C"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6A15A7CE" w14:textId="77777777" w:rsidR="00AF1C9B" w:rsidRPr="00BD4CA1" w:rsidRDefault="00AF1C9B" w:rsidP="008D6739">
            <w:pPr>
              <w:jc w:val="center"/>
              <w:rPr>
                <w:szCs w:val="16"/>
              </w:rPr>
            </w:pPr>
            <w:r w:rsidRPr="00BD4CA1">
              <w:rPr>
                <w:szCs w:val="16"/>
              </w:rPr>
              <w:t>Application for premises licences</w:t>
            </w:r>
          </w:p>
        </w:tc>
        <w:tc>
          <w:tcPr>
            <w:cnfStyle w:val="000010000000" w:firstRow="0" w:lastRow="0" w:firstColumn="0" w:lastColumn="0" w:oddVBand="1" w:evenVBand="0" w:oddHBand="0" w:evenHBand="0" w:firstRowFirstColumn="0" w:firstRowLastColumn="0" w:lastRowFirstColumn="0" w:lastRowLastColumn="0"/>
            <w:tcW w:w="1595" w:type="dxa"/>
          </w:tcPr>
          <w:p w14:paraId="5BD373A2" w14:textId="77777777" w:rsidR="00AF1C9B" w:rsidRPr="00BD4CA1" w:rsidRDefault="00AF1C9B" w:rsidP="008D6739">
            <w:pPr>
              <w:jc w:val="center"/>
              <w:rPr>
                <w:b/>
                <w:bCs/>
                <w:szCs w:val="16"/>
              </w:rPr>
            </w:pPr>
          </w:p>
        </w:tc>
        <w:tc>
          <w:tcPr>
            <w:tcW w:w="2464" w:type="dxa"/>
          </w:tcPr>
          <w:p w14:paraId="5A07F9F9"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szCs w:val="16"/>
              </w:rPr>
            </w:pPr>
            <w:r w:rsidRPr="00BD4CA1">
              <w:rPr>
                <w:szCs w:val="16"/>
              </w:rPr>
              <w:t>Where representations have been received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7F0DA36A" w14:textId="77777777" w:rsidR="00AF1C9B" w:rsidRPr="00BD4CA1" w:rsidRDefault="00AF1C9B" w:rsidP="008D6739">
            <w:pPr>
              <w:jc w:val="center"/>
              <w:rPr>
                <w:szCs w:val="16"/>
              </w:rPr>
            </w:pPr>
            <w:r w:rsidRPr="00BD4CA1">
              <w:rPr>
                <w:szCs w:val="16"/>
              </w:rPr>
              <w:t>Where no representations received/representations have been withdrawn</w:t>
            </w:r>
          </w:p>
          <w:p w14:paraId="4943112B" w14:textId="77777777" w:rsidR="00AF1C9B" w:rsidRPr="00BD4CA1" w:rsidRDefault="00AF1C9B" w:rsidP="008D6739">
            <w:pPr>
              <w:jc w:val="center"/>
              <w:rPr>
                <w:szCs w:val="16"/>
              </w:rPr>
            </w:pPr>
          </w:p>
        </w:tc>
      </w:tr>
      <w:tr w:rsidR="00AF1C9B" w14:paraId="34FB1C51"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06F0D31C" w14:textId="77777777" w:rsidR="00AF1C9B" w:rsidRPr="00BD4CA1" w:rsidRDefault="00AF1C9B" w:rsidP="008D6739">
            <w:pPr>
              <w:jc w:val="center"/>
              <w:rPr>
                <w:szCs w:val="16"/>
              </w:rPr>
            </w:pPr>
            <w:r w:rsidRPr="00BD4CA1">
              <w:rPr>
                <w:szCs w:val="16"/>
              </w:rPr>
              <w:t>Application for a variation to a licence</w:t>
            </w:r>
          </w:p>
        </w:tc>
        <w:tc>
          <w:tcPr>
            <w:cnfStyle w:val="000010000000" w:firstRow="0" w:lastRow="0" w:firstColumn="0" w:lastColumn="0" w:oddVBand="1" w:evenVBand="0" w:oddHBand="0" w:evenHBand="0" w:firstRowFirstColumn="0" w:firstRowLastColumn="0" w:lastRowFirstColumn="0" w:lastRowLastColumn="0"/>
            <w:tcW w:w="1595" w:type="dxa"/>
          </w:tcPr>
          <w:p w14:paraId="5FDF9EEE" w14:textId="77777777" w:rsidR="00AF1C9B" w:rsidRPr="00BD4CA1" w:rsidRDefault="00AF1C9B" w:rsidP="008D6739">
            <w:pPr>
              <w:jc w:val="center"/>
              <w:rPr>
                <w:b/>
                <w:bCs/>
                <w:szCs w:val="16"/>
              </w:rPr>
            </w:pPr>
          </w:p>
        </w:tc>
        <w:tc>
          <w:tcPr>
            <w:tcW w:w="2464" w:type="dxa"/>
          </w:tcPr>
          <w:p w14:paraId="20E0EE6C"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szCs w:val="16"/>
              </w:rPr>
            </w:pPr>
            <w:r w:rsidRPr="00BD4CA1">
              <w:rPr>
                <w:szCs w:val="16"/>
              </w:rPr>
              <w:t>Where representations have been received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70277687" w14:textId="77777777" w:rsidR="00AF1C9B" w:rsidRPr="00BD4CA1" w:rsidRDefault="00AF1C9B" w:rsidP="008D6739">
            <w:pPr>
              <w:jc w:val="center"/>
              <w:rPr>
                <w:b w:val="0"/>
                <w:bCs w:val="0"/>
                <w:szCs w:val="16"/>
              </w:rPr>
            </w:pPr>
            <w:r w:rsidRPr="00BD4CA1">
              <w:rPr>
                <w:szCs w:val="16"/>
              </w:rPr>
              <w:t>Where no representations received/representations have been withdrawn</w:t>
            </w:r>
          </w:p>
        </w:tc>
      </w:tr>
      <w:tr w:rsidR="00AF1C9B" w14:paraId="108F4F7F"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207A3242" w14:textId="77777777" w:rsidR="00AF1C9B" w:rsidRPr="00BD4CA1" w:rsidRDefault="00AF1C9B" w:rsidP="008D6739">
            <w:pPr>
              <w:jc w:val="center"/>
              <w:rPr>
                <w:szCs w:val="16"/>
              </w:rPr>
            </w:pPr>
            <w:r w:rsidRPr="00BD4CA1">
              <w:rPr>
                <w:szCs w:val="16"/>
              </w:rPr>
              <w:t>Application for a transfer of a licence</w:t>
            </w:r>
          </w:p>
        </w:tc>
        <w:tc>
          <w:tcPr>
            <w:cnfStyle w:val="000010000000" w:firstRow="0" w:lastRow="0" w:firstColumn="0" w:lastColumn="0" w:oddVBand="1" w:evenVBand="0" w:oddHBand="0" w:evenHBand="0" w:firstRowFirstColumn="0" w:firstRowLastColumn="0" w:lastRowFirstColumn="0" w:lastRowLastColumn="0"/>
            <w:tcW w:w="1595" w:type="dxa"/>
          </w:tcPr>
          <w:p w14:paraId="0AE6D7DC" w14:textId="77777777" w:rsidR="00AF1C9B" w:rsidRPr="00BD4CA1" w:rsidRDefault="00AF1C9B" w:rsidP="008D6739">
            <w:pPr>
              <w:jc w:val="center"/>
              <w:rPr>
                <w:b/>
                <w:bCs/>
                <w:szCs w:val="16"/>
              </w:rPr>
            </w:pPr>
          </w:p>
        </w:tc>
        <w:tc>
          <w:tcPr>
            <w:tcW w:w="2464" w:type="dxa"/>
          </w:tcPr>
          <w:p w14:paraId="54F3CA25"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szCs w:val="16"/>
              </w:rPr>
            </w:pPr>
            <w:r w:rsidRPr="00BD4CA1">
              <w:rPr>
                <w:szCs w:val="16"/>
              </w:rPr>
              <w:t>Where representations have been received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279EC243" w14:textId="77777777" w:rsidR="00AF1C9B" w:rsidRPr="00BD4CA1" w:rsidRDefault="00AF1C9B" w:rsidP="008D6739">
            <w:pPr>
              <w:jc w:val="center"/>
              <w:rPr>
                <w:szCs w:val="16"/>
              </w:rPr>
            </w:pPr>
            <w:r w:rsidRPr="00BD4CA1">
              <w:rPr>
                <w:szCs w:val="16"/>
              </w:rPr>
              <w:t>Where no representations received/representations have been withdrawn</w:t>
            </w:r>
          </w:p>
        </w:tc>
      </w:tr>
      <w:tr w:rsidR="00AF1C9B" w14:paraId="3E38B401"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64E975BB" w14:textId="77777777" w:rsidR="00AF1C9B" w:rsidRPr="00BD4CA1" w:rsidRDefault="00AF1C9B" w:rsidP="008D6739">
            <w:pPr>
              <w:jc w:val="center"/>
              <w:rPr>
                <w:szCs w:val="16"/>
              </w:rPr>
            </w:pPr>
            <w:r w:rsidRPr="00BD4CA1">
              <w:rPr>
                <w:szCs w:val="16"/>
              </w:rPr>
              <w:t>Application for a provisional statement</w:t>
            </w:r>
          </w:p>
        </w:tc>
        <w:tc>
          <w:tcPr>
            <w:cnfStyle w:val="000010000000" w:firstRow="0" w:lastRow="0" w:firstColumn="0" w:lastColumn="0" w:oddVBand="1" w:evenVBand="0" w:oddHBand="0" w:evenHBand="0" w:firstRowFirstColumn="0" w:firstRowLastColumn="0" w:lastRowFirstColumn="0" w:lastRowLastColumn="0"/>
            <w:tcW w:w="1595" w:type="dxa"/>
          </w:tcPr>
          <w:p w14:paraId="6B56626B" w14:textId="77777777" w:rsidR="00AF1C9B" w:rsidRPr="00BD4CA1" w:rsidRDefault="00AF1C9B" w:rsidP="008D6739">
            <w:pPr>
              <w:jc w:val="center"/>
              <w:rPr>
                <w:b/>
                <w:bCs/>
                <w:szCs w:val="16"/>
              </w:rPr>
            </w:pPr>
          </w:p>
        </w:tc>
        <w:tc>
          <w:tcPr>
            <w:tcW w:w="2464" w:type="dxa"/>
          </w:tcPr>
          <w:p w14:paraId="6C0A9AC1"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szCs w:val="16"/>
              </w:rPr>
            </w:pPr>
            <w:r w:rsidRPr="00BD4CA1">
              <w:rPr>
                <w:szCs w:val="16"/>
              </w:rPr>
              <w:t>Where representations have been received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6DDFCFED" w14:textId="77777777" w:rsidR="00AF1C9B" w:rsidRPr="00BD4CA1" w:rsidRDefault="00AF1C9B" w:rsidP="008D6739">
            <w:pPr>
              <w:jc w:val="center"/>
              <w:rPr>
                <w:szCs w:val="16"/>
              </w:rPr>
            </w:pPr>
            <w:r w:rsidRPr="00BD4CA1">
              <w:rPr>
                <w:szCs w:val="16"/>
              </w:rPr>
              <w:t>Where no representations received/representations have been withdrawn</w:t>
            </w:r>
          </w:p>
        </w:tc>
      </w:tr>
      <w:tr w:rsidR="00AF1C9B" w14:paraId="56DD8AC6"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205E5C69" w14:textId="77777777" w:rsidR="00AF1C9B" w:rsidRPr="00BD4CA1" w:rsidRDefault="00AF1C9B" w:rsidP="008D6739">
            <w:pPr>
              <w:jc w:val="center"/>
              <w:rPr>
                <w:szCs w:val="16"/>
              </w:rPr>
            </w:pPr>
            <w:r w:rsidRPr="00BD4CA1">
              <w:rPr>
                <w:szCs w:val="16"/>
              </w:rPr>
              <w:t>Review of a premises licence</w:t>
            </w:r>
          </w:p>
        </w:tc>
        <w:tc>
          <w:tcPr>
            <w:cnfStyle w:val="000010000000" w:firstRow="0" w:lastRow="0" w:firstColumn="0" w:lastColumn="0" w:oddVBand="1" w:evenVBand="0" w:oddHBand="0" w:evenHBand="0" w:firstRowFirstColumn="0" w:firstRowLastColumn="0" w:lastRowFirstColumn="0" w:lastRowLastColumn="0"/>
            <w:tcW w:w="1595" w:type="dxa"/>
          </w:tcPr>
          <w:p w14:paraId="5F0BFE03" w14:textId="77777777" w:rsidR="00AF1C9B" w:rsidRPr="00BD4CA1" w:rsidRDefault="00AF1C9B" w:rsidP="008D6739">
            <w:pPr>
              <w:jc w:val="center"/>
              <w:rPr>
                <w:b/>
                <w:bCs/>
                <w:szCs w:val="16"/>
              </w:rPr>
            </w:pPr>
          </w:p>
        </w:tc>
        <w:tc>
          <w:tcPr>
            <w:tcW w:w="2464" w:type="dxa"/>
          </w:tcPr>
          <w:p w14:paraId="6A1C9912"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b/>
                <w:bCs/>
                <w:szCs w:val="16"/>
              </w:rPr>
            </w:pPr>
            <w:r w:rsidRPr="00BD4CA1">
              <w:rPr>
                <w:b/>
                <w:bCs/>
                <w:szCs w:val="16"/>
              </w:rPr>
              <w:t>X</w:t>
            </w:r>
          </w:p>
        </w:tc>
        <w:tc>
          <w:tcPr>
            <w:cnfStyle w:val="000100000000" w:firstRow="0" w:lastRow="0" w:firstColumn="0" w:lastColumn="1" w:oddVBand="0" w:evenVBand="0" w:oddHBand="0" w:evenHBand="0" w:firstRowFirstColumn="0" w:firstRowLastColumn="0" w:lastRowFirstColumn="0" w:lastRowLastColumn="0"/>
            <w:tcW w:w="2845" w:type="dxa"/>
          </w:tcPr>
          <w:p w14:paraId="66293B87" w14:textId="77777777" w:rsidR="00AF1C9B" w:rsidRPr="00BD4CA1" w:rsidRDefault="00AF1C9B" w:rsidP="008D6739">
            <w:pPr>
              <w:jc w:val="center"/>
              <w:rPr>
                <w:szCs w:val="16"/>
              </w:rPr>
            </w:pPr>
          </w:p>
        </w:tc>
      </w:tr>
      <w:tr w:rsidR="00AF1C9B" w14:paraId="7FA5109F"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0C21BAE1" w14:textId="77777777" w:rsidR="00AF1C9B" w:rsidRPr="00BD4CA1" w:rsidRDefault="00AF1C9B" w:rsidP="008D6739">
            <w:pPr>
              <w:jc w:val="center"/>
              <w:rPr>
                <w:szCs w:val="16"/>
              </w:rPr>
            </w:pPr>
            <w:r w:rsidRPr="00BD4CA1">
              <w:rPr>
                <w:szCs w:val="16"/>
              </w:rPr>
              <w:t>Application for club gaming/club machine permits</w:t>
            </w:r>
          </w:p>
        </w:tc>
        <w:tc>
          <w:tcPr>
            <w:cnfStyle w:val="000010000000" w:firstRow="0" w:lastRow="0" w:firstColumn="0" w:lastColumn="0" w:oddVBand="1" w:evenVBand="0" w:oddHBand="0" w:evenHBand="0" w:firstRowFirstColumn="0" w:firstRowLastColumn="0" w:lastRowFirstColumn="0" w:lastRowLastColumn="0"/>
            <w:tcW w:w="1595" w:type="dxa"/>
          </w:tcPr>
          <w:p w14:paraId="050B0144" w14:textId="77777777" w:rsidR="00AF1C9B" w:rsidRPr="00BD4CA1" w:rsidRDefault="00AF1C9B" w:rsidP="008D6739">
            <w:pPr>
              <w:jc w:val="center"/>
              <w:rPr>
                <w:b/>
                <w:bCs/>
                <w:szCs w:val="16"/>
              </w:rPr>
            </w:pPr>
          </w:p>
        </w:tc>
        <w:tc>
          <w:tcPr>
            <w:tcW w:w="2464" w:type="dxa"/>
          </w:tcPr>
          <w:p w14:paraId="123C31AC"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szCs w:val="16"/>
              </w:rPr>
            </w:pPr>
            <w:r w:rsidRPr="00BD4CA1">
              <w:rPr>
                <w:szCs w:val="16"/>
              </w:rPr>
              <w:t>Where objections have been made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2A4A4E28" w14:textId="77777777" w:rsidR="00AF1C9B" w:rsidRPr="00BD4CA1" w:rsidRDefault="00AF1C9B" w:rsidP="008D6739">
            <w:pPr>
              <w:jc w:val="center"/>
              <w:rPr>
                <w:szCs w:val="16"/>
              </w:rPr>
            </w:pPr>
            <w:r w:rsidRPr="00BD4CA1">
              <w:rPr>
                <w:szCs w:val="16"/>
              </w:rPr>
              <w:t>Where no objections have been made/objections have been withdrawn</w:t>
            </w:r>
          </w:p>
        </w:tc>
      </w:tr>
      <w:tr w:rsidR="00AF1C9B" w14:paraId="25E77F23"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7A7B9786" w14:textId="77777777" w:rsidR="00AF1C9B" w:rsidRPr="00BD4CA1" w:rsidRDefault="00AF1C9B" w:rsidP="008D6739">
            <w:pPr>
              <w:jc w:val="center"/>
              <w:rPr>
                <w:szCs w:val="16"/>
              </w:rPr>
            </w:pPr>
            <w:r w:rsidRPr="00BD4CA1">
              <w:rPr>
                <w:szCs w:val="16"/>
              </w:rPr>
              <w:t>Cancellation of club gaming/club machine permits</w:t>
            </w:r>
          </w:p>
        </w:tc>
        <w:tc>
          <w:tcPr>
            <w:cnfStyle w:val="000010000000" w:firstRow="0" w:lastRow="0" w:firstColumn="0" w:lastColumn="0" w:oddVBand="1" w:evenVBand="0" w:oddHBand="0" w:evenHBand="0" w:firstRowFirstColumn="0" w:firstRowLastColumn="0" w:lastRowFirstColumn="0" w:lastRowLastColumn="0"/>
            <w:tcW w:w="1595" w:type="dxa"/>
          </w:tcPr>
          <w:p w14:paraId="7270E1F1" w14:textId="77777777" w:rsidR="00AF1C9B" w:rsidRPr="00BD4CA1" w:rsidRDefault="00AF1C9B" w:rsidP="008D6739">
            <w:pPr>
              <w:jc w:val="center"/>
              <w:rPr>
                <w:b/>
                <w:bCs/>
                <w:szCs w:val="16"/>
              </w:rPr>
            </w:pPr>
          </w:p>
        </w:tc>
        <w:tc>
          <w:tcPr>
            <w:tcW w:w="2464" w:type="dxa"/>
          </w:tcPr>
          <w:p w14:paraId="6F98DAE6"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b/>
                <w:bCs/>
                <w:szCs w:val="16"/>
              </w:rPr>
            </w:pPr>
            <w:r w:rsidRPr="00BD4CA1">
              <w:rPr>
                <w:b/>
                <w:bCs/>
                <w:szCs w:val="16"/>
              </w:rPr>
              <w:t>X</w:t>
            </w:r>
          </w:p>
        </w:tc>
        <w:tc>
          <w:tcPr>
            <w:cnfStyle w:val="000100000000" w:firstRow="0" w:lastRow="0" w:firstColumn="0" w:lastColumn="1" w:oddVBand="0" w:evenVBand="0" w:oddHBand="0" w:evenHBand="0" w:firstRowFirstColumn="0" w:firstRowLastColumn="0" w:lastRowFirstColumn="0" w:lastRowLastColumn="0"/>
            <w:tcW w:w="2845" w:type="dxa"/>
          </w:tcPr>
          <w:p w14:paraId="5612AF9A" w14:textId="77777777" w:rsidR="00AF1C9B" w:rsidRPr="00BD4CA1" w:rsidRDefault="00AF1C9B" w:rsidP="008D6739">
            <w:pPr>
              <w:jc w:val="center"/>
              <w:rPr>
                <w:szCs w:val="16"/>
              </w:rPr>
            </w:pPr>
          </w:p>
        </w:tc>
      </w:tr>
      <w:tr w:rsidR="00AF1C9B" w14:paraId="50160B25"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3D053389" w14:textId="77777777" w:rsidR="00AF1C9B" w:rsidRPr="00BD4CA1" w:rsidRDefault="00AF1C9B" w:rsidP="008D6739">
            <w:pPr>
              <w:jc w:val="center"/>
              <w:rPr>
                <w:szCs w:val="16"/>
              </w:rPr>
            </w:pPr>
            <w:r w:rsidRPr="00BD4CA1">
              <w:rPr>
                <w:szCs w:val="16"/>
              </w:rPr>
              <w:t>Applications for other permits</w:t>
            </w:r>
          </w:p>
        </w:tc>
        <w:tc>
          <w:tcPr>
            <w:cnfStyle w:val="000010000000" w:firstRow="0" w:lastRow="0" w:firstColumn="0" w:lastColumn="0" w:oddVBand="1" w:evenVBand="0" w:oddHBand="0" w:evenHBand="0" w:firstRowFirstColumn="0" w:firstRowLastColumn="0" w:lastRowFirstColumn="0" w:lastRowLastColumn="0"/>
            <w:tcW w:w="1595" w:type="dxa"/>
          </w:tcPr>
          <w:p w14:paraId="0B96F619" w14:textId="77777777" w:rsidR="00AF1C9B" w:rsidRPr="00BD4CA1" w:rsidRDefault="00AF1C9B" w:rsidP="008D6739">
            <w:pPr>
              <w:jc w:val="center"/>
              <w:rPr>
                <w:b/>
                <w:bCs/>
                <w:szCs w:val="16"/>
              </w:rPr>
            </w:pPr>
          </w:p>
        </w:tc>
        <w:tc>
          <w:tcPr>
            <w:tcW w:w="2464" w:type="dxa"/>
          </w:tcPr>
          <w:p w14:paraId="396BE311"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szCs w:val="16"/>
              </w:rPr>
            </w:pPr>
            <w:r w:rsidRPr="00BD4CA1">
              <w:rPr>
                <w:szCs w:val="16"/>
              </w:rPr>
              <w:t>Where there are 5 or more machines or where objections have been made (and not withdrawn)</w:t>
            </w:r>
          </w:p>
        </w:tc>
        <w:tc>
          <w:tcPr>
            <w:cnfStyle w:val="000100000000" w:firstRow="0" w:lastRow="0" w:firstColumn="0" w:lastColumn="1" w:oddVBand="0" w:evenVBand="0" w:oddHBand="0" w:evenHBand="0" w:firstRowFirstColumn="0" w:firstRowLastColumn="0" w:lastRowFirstColumn="0" w:lastRowLastColumn="0"/>
            <w:tcW w:w="2845" w:type="dxa"/>
          </w:tcPr>
          <w:p w14:paraId="7AF2CFAD" w14:textId="77777777" w:rsidR="00AF1C9B" w:rsidRPr="00BD4CA1" w:rsidRDefault="00AF1C9B" w:rsidP="008D6739">
            <w:pPr>
              <w:jc w:val="center"/>
              <w:rPr>
                <w:szCs w:val="16"/>
              </w:rPr>
            </w:pPr>
            <w:r w:rsidRPr="00BD4CA1">
              <w:rPr>
                <w:szCs w:val="16"/>
              </w:rPr>
              <w:t>4 machines or less</w:t>
            </w:r>
          </w:p>
        </w:tc>
      </w:tr>
      <w:tr w:rsidR="00AF1C9B" w14:paraId="4C5115EC"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78B66879" w14:textId="77777777" w:rsidR="00AF1C9B" w:rsidRPr="00BD4CA1" w:rsidRDefault="00AF1C9B" w:rsidP="008D6739">
            <w:pPr>
              <w:jc w:val="center"/>
              <w:rPr>
                <w:szCs w:val="16"/>
              </w:rPr>
            </w:pPr>
            <w:r w:rsidRPr="00BD4CA1">
              <w:rPr>
                <w:szCs w:val="16"/>
              </w:rPr>
              <w:t>Cancellation of licensed premises gaming machine permits</w:t>
            </w:r>
          </w:p>
        </w:tc>
        <w:tc>
          <w:tcPr>
            <w:cnfStyle w:val="000010000000" w:firstRow="0" w:lastRow="0" w:firstColumn="0" w:lastColumn="0" w:oddVBand="1" w:evenVBand="0" w:oddHBand="0" w:evenHBand="0" w:firstRowFirstColumn="0" w:firstRowLastColumn="0" w:lastRowFirstColumn="0" w:lastRowLastColumn="0"/>
            <w:tcW w:w="1595" w:type="dxa"/>
          </w:tcPr>
          <w:p w14:paraId="08D2E897" w14:textId="77777777" w:rsidR="00AF1C9B" w:rsidRPr="00BD4CA1" w:rsidRDefault="00AF1C9B" w:rsidP="008D6739">
            <w:pPr>
              <w:jc w:val="center"/>
              <w:rPr>
                <w:b/>
                <w:bCs/>
                <w:szCs w:val="16"/>
              </w:rPr>
            </w:pPr>
          </w:p>
        </w:tc>
        <w:tc>
          <w:tcPr>
            <w:tcW w:w="2464" w:type="dxa"/>
          </w:tcPr>
          <w:p w14:paraId="1E319B6F"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szCs w:val="16"/>
              </w:rPr>
            </w:pPr>
          </w:p>
        </w:tc>
        <w:tc>
          <w:tcPr>
            <w:cnfStyle w:val="000100000000" w:firstRow="0" w:lastRow="0" w:firstColumn="0" w:lastColumn="1" w:oddVBand="0" w:evenVBand="0" w:oddHBand="0" w:evenHBand="0" w:firstRowFirstColumn="0" w:firstRowLastColumn="0" w:lastRowFirstColumn="0" w:lastRowLastColumn="0"/>
            <w:tcW w:w="2845" w:type="dxa"/>
          </w:tcPr>
          <w:p w14:paraId="7024BC1A" w14:textId="77777777" w:rsidR="00AF1C9B" w:rsidRPr="00BD4CA1" w:rsidRDefault="00AF1C9B" w:rsidP="008D6739">
            <w:pPr>
              <w:jc w:val="center"/>
              <w:rPr>
                <w:b w:val="0"/>
                <w:bCs w:val="0"/>
                <w:szCs w:val="16"/>
              </w:rPr>
            </w:pPr>
            <w:r w:rsidRPr="00BD4CA1">
              <w:rPr>
                <w:szCs w:val="16"/>
              </w:rPr>
              <w:t>X</w:t>
            </w:r>
          </w:p>
        </w:tc>
      </w:tr>
      <w:tr w:rsidR="00AF1C9B" w14:paraId="6CA4F7AB" w14:textId="77777777" w:rsidTr="00057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5DC2EEE7" w14:textId="77777777" w:rsidR="00AF1C9B" w:rsidRPr="00BD4CA1" w:rsidRDefault="00AF1C9B" w:rsidP="008D6739">
            <w:pPr>
              <w:jc w:val="center"/>
              <w:rPr>
                <w:szCs w:val="16"/>
              </w:rPr>
            </w:pPr>
            <w:r w:rsidRPr="00BD4CA1">
              <w:rPr>
                <w:szCs w:val="16"/>
              </w:rPr>
              <w:t>Consideration of temporary use notice</w:t>
            </w:r>
          </w:p>
        </w:tc>
        <w:tc>
          <w:tcPr>
            <w:cnfStyle w:val="000010000000" w:firstRow="0" w:lastRow="0" w:firstColumn="0" w:lastColumn="0" w:oddVBand="1" w:evenVBand="0" w:oddHBand="0" w:evenHBand="0" w:firstRowFirstColumn="0" w:firstRowLastColumn="0" w:lastRowFirstColumn="0" w:lastRowLastColumn="0"/>
            <w:tcW w:w="1595" w:type="dxa"/>
          </w:tcPr>
          <w:p w14:paraId="1A53EA8A" w14:textId="77777777" w:rsidR="00AF1C9B" w:rsidRPr="00BD4CA1" w:rsidRDefault="00AF1C9B" w:rsidP="008D6739">
            <w:pPr>
              <w:jc w:val="center"/>
              <w:rPr>
                <w:b/>
                <w:bCs/>
                <w:szCs w:val="16"/>
              </w:rPr>
            </w:pPr>
          </w:p>
        </w:tc>
        <w:tc>
          <w:tcPr>
            <w:tcW w:w="2464" w:type="dxa"/>
          </w:tcPr>
          <w:p w14:paraId="205962B6" w14:textId="77777777" w:rsidR="00AF1C9B" w:rsidRPr="00BD4CA1" w:rsidRDefault="00AF1C9B" w:rsidP="008D6739">
            <w:pPr>
              <w:jc w:val="center"/>
              <w:cnfStyle w:val="000000100000" w:firstRow="0" w:lastRow="0" w:firstColumn="0" w:lastColumn="0" w:oddVBand="0" w:evenVBand="0" w:oddHBand="1" w:evenHBand="0" w:firstRowFirstColumn="0" w:firstRowLastColumn="0" w:lastRowFirstColumn="0" w:lastRowLastColumn="0"/>
              <w:rPr>
                <w:szCs w:val="16"/>
              </w:rPr>
            </w:pPr>
          </w:p>
        </w:tc>
        <w:tc>
          <w:tcPr>
            <w:cnfStyle w:val="000100000000" w:firstRow="0" w:lastRow="0" w:firstColumn="0" w:lastColumn="1" w:oddVBand="0" w:evenVBand="0" w:oddHBand="0" w:evenHBand="0" w:firstRowFirstColumn="0" w:firstRowLastColumn="0" w:lastRowFirstColumn="0" w:lastRowLastColumn="0"/>
            <w:tcW w:w="2845" w:type="dxa"/>
          </w:tcPr>
          <w:p w14:paraId="202CAAE6" w14:textId="77777777" w:rsidR="00AF1C9B" w:rsidRPr="00BD4CA1" w:rsidRDefault="00AF1C9B" w:rsidP="008D6739">
            <w:pPr>
              <w:jc w:val="center"/>
              <w:rPr>
                <w:b w:val="0"/>
                <w:bCs w:val="0"/>
                <w:szCs w:val="16"/>
              </w:rPr>
            </w:pPr>
            <w:r w:rsidRPr="00BD4CA1">
              <w:rPr>
                <w:szCs w:val="16"/>
              </w:rPr>
              <w:t>X</w:t>
            </w:r>
          </w:p>
        </w:tc>
      </w:tr>
      <w:tr w:rsidR="00AF1C9B" w14:paraId="5C466220" w14:textId="77777777" w:rsidTr="00057512">
        <w:tc>
          <w:tcPr>
            <w:cnfStyle w:val="001000000000" w:firstRow="0" w:lastRow="0" w:firstColumn="1" w:lastColumn="0" w:oddVBand="0" w:evenVBand="0" w:oddHBand="0" w:evenHBand="0" w:firstRowFirstColumn="0" w:firstRowLastColumn="0" w:lastRowFirstColumn="0" w:lastRowLastColumn="0"/>
            <w:tcW w:w="2564" w:type="dxa"/>
          </w:tcPr>
          <w:p w14:paraId="0FBE4B38" w14:textId="77777777" w:rsidR="00AF1C9B" w:rsidRPr="00BD4CA1" w:rsidRDefault="00AF1C9B" w:rsidP="008D6739">
            <w:pPr>
              <w:jc w:val="center"/>
              <w:rPr>
                <w:szCs w:val="16"/>
              </w:rPr>
            </w:pPr>
            <w:r w:rsidRPr="00BD4CA1">
              <w:rPr>
                <w:szCs w:val="16"/>
              </w:rPr>
              <w:t>Decisions to give a counter notice to a temporary use notice</w:t>
            </w:r>
          </w:p>
        </w:tc>
        <w:tc>
          <w:tcPr>
            <w:cnfStyle w:val="000010000000" w:firstRow="0" w:lastRow="0" w:firstColumn="0" w:lastColumn="0" w:oddVBand="1" w:evenVBand="0" w:oddHBand="0" w:evenHBand="0" w:firstRowFirstColumn="0" w:firstRowLastColumn="0" w:lastRowFirstColumn="0" w:lastRowLastColumn="0"/>
            <w:tcW w:w="1595" w:type="dxa"/>
          </w:tcPr>
          <w:p w14:paraId="12584CA2" w14:textId="77777777" w:rsidR="00AF1C9B" w:rsidRPr="00BD4CA1" w:rsidRDefault="00AF1C9B" w:rsidP="008D6739">
            <w:pPr>
              <w:jc w:val="center"/>
              <w:rPr>
                <w:b/>
                <w:bCs/>
                <w:szCs w:val="16"/>
              </w:rPr>
            </w:pPr>
          </w:p>
        </w:tc>
        <w:tc>
          <w:tcPr>
            <w:tcW w:w="2464" w:type="dxa"/>
          </w:tcPr>
          <w:p w14:paraId="6080998C" w14:textId="77777777" w:rsidR="00AF1C9B" w:rsidRPr="00BD4CA1" w:rsidRDefault="00AF1C9B" w:rsidP="008D6739">
            <w:pPr>
              <w:jc w:val="center"/>
              <w:cnfStyle w:val="000000000000" w:firstRow="0" w:lastRow="0" w:firstColumn="0" w:lastColumn="0" w:oddVBand="0" w:evenVBand="0" w:oddHBand="0" w:evenHBand="0" w:firstRowFirstColumn="0" w:firstRowLastColumn="0" w:lastRowFirstColumn="0" w:lastRowLastColumn="0"/>
              <w:rPr>
                <w:b/>
                <w:bCs/>
                <w:szCs w:val="16"/>
              </w:rPr>
            </w:pPr>
            <w:r w:rsidRPr="00BD4CA1">
              <w:rPr>
                <w:b/>
                <w:bCs/>
                <w:szCs w:val="16"/>
              </w:rPr>
              <w:t>X</w:t>
            </w:r>
          </w:p>
        </w:tc>
        <w:tc>
          <w:tcPr>
            <w:cnfStyle w:val="000100000000" w:firstRow="0" w:lastRow="0" w:firstColumn="0" w:lastColumn="1" w:oddVBand="0" w:evenVBand="0" w:oddHBand="0" w:evenHBand="0" w:firstRowFirstColumn="0" w:firstRowLastColumn="0" w:lastRowFirstColumn="0" w:lastRowLastColumn="0"/>
            <w:tcW w:w="2845" w:type="dxa"/>
          </w:tcPr>
          <w:p w14:paraId="408F80A0" w14:textId="77777777" w:rsidR="00AF1C9B" w:rsidRPr="00BD4CA1" w:rsidRDefault="00AF1C9B" w:rsidP="008D6739">
            <w:pPr>
              <w:jc w:val="center"/>
              <w:rPr>
                <w:szCs w:val="16"/>
              </w:rPr>
            </w:pPr>
          </w:p>
        </w:tc>
      </w:tr>
      <w:tr w:rsidR="004E4E1C" w14:paraId="2C8279FE" w14:textId="77777777" w:rsidTr="0005751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64" w:type="dxa"/>
          </w:tcPr>
          <w:p w14:paraId="132F43F6" w14:textId="77777777" w:rsidR="004E4E1C" w:rsidRPr="00BD4CA1" w:rsidRDefault="004E4E1C" w:rsidP="008D6739">
            <w:pPr>
              <w:jc w:val="center"/>
              <w:rPr>
                <w:szCs w:val="16"/>
              </w:rPr>
            </w:pPr>
            <w:r w:rsidRPr="00C0354A">
              <w:rPr>
                <w:szCs w:val="16"/>
              </w:rPr>
              <w:t>Cancellation of Small Society Lottery Registration</w:t>
            </w:r>
          </w:p>
        </w:tc>
        <w:tc>
          <w:tcPr>
            <w:cnfStyle w:val="000010000000" w:firstRow="0" w:lastRow="0" w:firstColumn="0" w:lastColumn="0" w:oddVBand="1" w:evenVBand="0" w:oddHBand="0" w:evenHBand="0" w:firstRowFirstColumn="0" w:firstRowLastColumn="0" w:lastRowFirstColumn="0" w:lastRowLastColumn="0"/>
            <w:tcW w:w="1595" w:type="dxa"/>
          </w:tcPr>
          <w:p w14:paraId="174F0225" w14:textId="77777777" w:rsidR="004E4E1C" w:rsidRPr="00BD4CA1" w:rsidRDefault="004E4E1C" w:rsidP="008D6739">
            <w:pPr>
              <w:jc w:val="center"/>
              <w:rPr>
                <w:b w:val="0"/>
                <w:bCs w:val="0"/>
                <w:szCs w:val="16"/>
              </w:rPr>
            </w:pPr>
          </w:p>
        </w:tc>
        <w:tc>
          <w:tcPr>
            <w:tcW w:w="2464" w:type="dxa"/>
          </w:tcPr>
          <w:p w14:paraId="4D120DBF" w14:textId="77777777" w:rsidR="004E4E1C" w:rsidRPr="00BD4CA1" w:rsidRDefault="004E4E1C" w:rsidP="008D6739">
            <w:pPr>
              <w:jc w:val="center"/>
              <w:cnfStyle w:val="010000000000" w:firstRow="0" w:lastRow="1" w:firstColumn="0" w:lastColumn="0" w:oddVBand="0" w:evenVBand="0" w:oddHBand="0" w:evenHBand="0" w:firstRowFirstColumn="0" w:firstRowLastColumn="0" w:lastRowFirstColumn="0" w:lastRowLastColumn="0"/>
              <w:rPr>
                <w:b w:val="0"/>
                <w:bCs w:val="0"/>
                <w:szCs w:val="16"/>
              </w:rPr>
            </w:pPr>
          </w:p>
        </w:tc>
        <w:tc>
          <w:tcPr>
            <w:cnfStyle w:val="000100000010" w:firstRow="0" w:lastRow="0" w:firstColumn="0" w:lastColumn="1" w:oddVBand="0" w:evenVBand="0" w:oddHBand="0" w:evenHBand="0" w:firstRowFirstColumn="0" w:firstRowLastColumn="0" w:lastRowFirstColumn="0" w:lastRowLastColumn="1"/>
            <w:tcW w:w="2845" w:type="dxa"/>
          </w:tcPr>
          <w:p w14:paraId="48A63D17" w14:textId="77777777" w:rsidR="004E4E1C" w:rsidRPr="00C0354A" w:rsidRDefault="00C0354A" w:rsidP="008D6739">
            <w:pPr>
              <w:jc w:val="center"/>
              <w:rPr>
                <w:b w:val="0"/>
                <w:szCs w:val="16"/>
              </w:rPr>
            </w:pPr>
            <w:r>
              <w:rPr>
                <w:szCs w:val="16"/>
              </w:rPr>
              <w:t>X</w:t>
            </w:r>
          </w:p>
        </w:tc>
      </w:tr>
    </w:tbl>
    <w:p w14:paraId="248EC890" w14:textId="77777777" w:rsidR="008B537F" w:rsidRDefault="008B537F" w:rsidP="008D6739">
      <w:pPr>
        <w:jc w:val="right"/>
        <w:rPr>
          <w:b/>
          <w:bCs/>
          <w:szCs w:val="22"/>
        </w:rPr>
      </w:pPr>
    </w:p>
    <w:p w14:paraId="14B0F423" w14:textId="652F20BF" w:rsidR="00AF1C9B" w:rsidRPr="00BA5031" w:rsidRDefault="00C0354A" w:rsidP="00CB31C5">
      <w:pPr>
        <w:pStyle w:val="Heading2"/>
      </w:pPr>
      <w:r>
        <w:t>Appendix 8</w:t>
      </w:r>
      <w:r w:rsidR="00C77C2E">
        <w:t xml:space="preserve"> Glossary of terms</w:t>
      </w:r>
    </w:p>
    <w:p w14:paraId="6392A28D" w14:textId="77777777" w:rsidR="00AF1C9B" w:rsidRPr="00BA5031" w:rsidRDefault="00AF1C9B" w:rsidP="008D6739">
      <w:pPr>
        <w:rPr>
          <w:b/>
          <w:bCs/>
          <w:szCs w:val="22"/>
        </w:rPr>
      </w:pPr>
    </w:p>
    <w:p w14:paraId="53BFE64E" w14:textId="77777777" w:rsidR="001B358C" w:rsidRDefault="001B358C" w:rsidP="008D6739">
      <w:pPr>
        <w:rPr>
          <w:b/>
          <w:bCs/>
          <w:szCs w:val="22"/>
        </w:rPr>
      </w:pPr>
    </w:p>
    <w:p w14:paraId="03F32405" w14:textId="77777777" w:rsidR="001B358C" w:rsidRDefault="001B358C" w:rsidP="00C77C2E">
      <w:pPr>
        <w:pStyle w:val="Heading3"/>
        <w:rPr>
          <w:lang w:val="en"/>
        </w:rPr>
      </w:pPr>
      <w:r w:rsidRPr="001B358C">
        <w:rPr>
          <w:lang w:val="en"/>
        </w:rPr>
        <w:t>Adult Gaming Centre – AGC’s</w:t>
      </w:r>
    </w:p>
    <w:p w14:paraId="21B97397" w14:textId="77777777" w:rsidR="001B358C" w:rsidRDefault="001B358C" w:rsidP="00C77C2E">
      <w:pPr>
        <w:rPr>
          <w:b/>
          <w:lang w:val="en"/>
        </w:rPr>
      </w:pPr>
      <w:r>
        <w:rPr>
          <w:lang w:val="en"/>
        </w:rPr>
        <w:t xml:space="preserve">Adult gaming </w:t>
      </w:r>
      <w:proofErr w:type="spellStart"/>
      <w:r>
        <w:rPr>
          <w:lang w:val="en"/>
        </w:rPr>
        <w:t>centres</w:t>
      </w:r>
      <w:proofErr w:type="spellEnd"/>
      <w:r w:rsidR="009012B5">
        <w:rPr>
          <w:lang w:val="en"/>
        </w:rPr>
        <w:t xml:space="preserve"> are a </w:t>
      </w:r>
      <w:r w:rsidRPr="001B358C">
        <w:rPr>
          <w:lang w:val="en"/>
        </w:rPr>
        <w:t xml:space="preserve">category of premises introduced by the Act. Persons operating an AGC must hold a gaming machines general operating </w:t>
      </w:r>
      <w:proofErr w:type="spellStart"/>
      <w:r w:rsidRPr="001B358C">
        <w:rPr>
          <w:lang w:val="en"/>
        </w:rPr>
        <w:t>licence</w:t>
      </w:r>
      <w:proofErr w:type="spellEnd"/>
      <w:r w:rsidRPr="001B358C">
        <w:rPr>
          <w:lang w:val="en"/>
        </w:rPr>
        <w:t xml:space="preserve"> from the Commission and must seek a Premises </w:t>
      </w:r>
      <w:proofErr w:type="spellStart"/>
      <w:r w:rsidRPr="001B358C">
        <w:rPr>
          <w:lang w:val="en"/>
        </w:rPr>
        <w:t>licence</w:t>
      </w:r>
      <w:proofErr w:type="spellEnd"/>
      <w:r w:rsidRPr="001B358C">
        <w:rPr>
          <w:lang w:val="en"/>
        </w:rPr>
        <w:t xml:space="preserve"> from the Council. Category B, C and D machines can be made available to customers. </w:t>
      </w:r>
    </w:p>
    <w:p w14:paraId="62941BEE" w14:textId="77777777" w:rsidR="001B358C" w:rsidRPr="001B358C" w:rsidRDefault="001B358C" w:rsidP="009012B5">
      <w:pPr>
        <w:rPr>
          <w:lang w:val="en" w:eastAsia="en-US"/>
        </w:rPr>
      </w:pPr>
    </w:p>
    <w:p w14:paraId="67005C84" w14:textId="77777777" w:rsidR="001B358C" w:rsidRPr="00C77C2E" w:rsidRDefault="001B358C" w:rsidP="00C77C2E">
      <w:pPr>
        <w:pStyle w:val="Heading3"/>
        <w:rPr>
          <w:b/>
          <w:bCs/>
          <w:u w:val="none"/>
          <w:lang w:val="en"/>
        </w:rPr>
      </w:pPr>
      <w:r w:rsidRPr="00C77C2E">
        <w:rPr>
          <w:b/>
          <w:bCs/>
          <w:u w:val="none"/>
          <w:lang w:val="en"/>
        </w:rPr>
        <w:t>Alcohol Licensed Premises gaming machine permits</w:t>
      </w:r>
    </w:p>
    <w:p w14:paraId="13EA12BE" w14:textId="77777777" w:rsidR="001B358C" w:rsidRDefault="001B358C" w:rsidP="00C77C2E">
      <w:pPr>
        <w:rPr>
          <w:b/>
          <w:lang w:val="en"/>
        </w:rPr>
      </w:pPr>
      <w:r w:rsidRPr="001B358C">
        <w:rPr>
          <w:lang w:val="en"/>
        </w:rPr>
        <w:t>The Council can issue such permits for any number of category C or D machines in licensed premises. There is an automatic entitlement for alcohol on-</w:t>
      </w:r>
      <w:proofErr w:type="spellStart"/>
      <w:r w:rsidRPr="001B358C">
        <w:rPr>
          <w:lang w:val="en"/>
        </w:rPr>
        <w:t>licence</w:t>
      </w:r>
      <w:proofErr w:type="spellEnd"/>
      <w:r w:rsidRPr="001B358C">
        <w:rPr>
          <w:lang w:val="en"/>
        </w:rPr>
        <w:t xml:space="preserve"> holders to make available 2 gaming machines of category C or D for use in alcohol licensed premises. </w:t>
      </w:r>
    </w:p>
    <w:p w14:paraId="15DDADE3" w14:textId="77777777" w:rsidR="001B358C" w:rsidRPr="001B358C" w:rsidRDefault="001B358C" w:rsidP="009012B5">
      <w:pPr>
        <w:rPr>
          <w:lang w:val="en" w:eastAsia="en-US"/>
        </w:rPr>
      </w:pPr>
    </w:p>
    <w:p w14:paraId="74648D0B" w14:textId="77777777" w:rsidR="001B358C" w:rsidRPr="00C77C2E" w:rsidRDefault="001B358C" w:rsidP="00C77C2E">
      <w:pPr>
        <w:pStyle w:val="Heading3"/>
        <w:rPr>
          <w:b/>
          <w:bCs/>
          <w:u w:val="none"/>
          <w:lang w:val="en"/>
        </w:rPr>
      </w:pPr>
      <w:r w:rsidRPr="00C77C2E">
        <w:rPr>
          <w:b/>
          <w:bCs/>
          <w:u w:val="none"/>
          <w:lang w:val="en"/>
        </w:rPr>
        <w:t>Applications</w:t>
      </w:r>
    </w:p>
    <w:p w14:paraId="5083C5F2" w14:textId="77777777" w:rsidR="001B358C" w:rsidRDefault="001B358C" w:rsidP="00C77C2E">
      <w:pPr>
        <w:rPr>
          <w:lang w:val="en"/>
        </w:rPr>
      </w:pPr>
      <w:r w:rsidRPr="001B358C">
        <w:rPr>
          <w:lang w:val="en"/>
        </w:rPr>
        <w:t xml:space="preserve">Applications for </w:t>
      </w:r>
      <w:proofErr w:type="spellStart"/>
      <w:r w:rsidRPr="001B358C">
        <w:rPr>
          <w:lang w:val="en"/>
        </w:rPr>
        <w:t>licences</w:t>
      </w:r>
      <w:proofErr w:type="spellEnd"/>
      <w:r w:rsidRPr="001B358C">
        <w:rPr>
          <w:lang w:val="en"/>
        </w:rPr>
        <w:t xml:space="preserve"> and permits. </w:t>
      </w:r>
    </w:p>
    <w:p w14:paraId="6A4DC4EE" w14:textId="77777777" w:rsidR="001B358C" w:rsidRPr="001B358C" w:rsidRDefault="001B358C" w:rsidP="009012B5">
      <w:pPr>
        <w:rPr>
          <w:lang w:val="en" w:eastAsia="en-US"/>
        </w:rPr>
      </w:pPr>
    </w:p>
    <w:p w14:paraId="4488CD81" w14:textId="77777777" w:rsidR="001B358C" w:rsidRPr="00C77C2E" w:rsidRDefault="001B358C" w:rsidP="00C77C2E">
      <w:pPr>
        <w:pStyle w:val="Heading3"/>
        <w:rPr>
          <w:b/>
          <w:bCs/>
          <w:u w:val="none"/>
          <w:lang w:val="en"/>
        </w:rPr>
      </w:pPr>
      <w:proofErr w:type="spellStart"/>
      <w:r w:rsidRPr="00C77C2E">
        <w:rPr>
          <w:b/>
          <w:bCs/>
          <w:u w:val="none"/>
          <w:lang w:val="en"/>
        </w:rPr>
        <w:t>Authorisations</w:t>
      </w:r>
      <w:proofErr w:type="spellEnd"/>
    </w:p>
    <w:p w14:paraId="4F40AF0B" w14:textId="77777777" w:rsidR="001B358C" w:rsidRPr="001B358C" w:rsidRDefault="001B358C" w:rsidP="00C77C2E">
      <w:pPr>
        <w:rPr>
          <w:b/>
          <w:lang w:val="en"/>
        </w:rPr>
      </w:pPr>
      <w:r w:rsidRPr="001B358C">
        <w:rPr>
          <w:lang w:val="en"/>
        </w:rPr>
        <w:t xml:space="preserve">This policy relates to all </w:t>
      </w:r>
      <w:proofErr w:type="spellStart"/>
      <w:r w:rsidRPr="001B358C">
        <w:rPr>
          <w:lang w:val="en"/>
        </w:rPr>
        <w:t>authorisations</w:t>
      </w:r>
      <w:proofErr w:type="spellEnd"/>
      <w:r w:rsidRPr="001B358C">
        <w:rPr>
          <w:lang w:val="en"/>
        </w:rPr>
        <w:t xml:space="preserve">, permits, </w:t>
      </w:r>
      <w:proofErr w:type="spellStart"/>
      <w:r w:rsidRPr="001B358C">
        <w:rPr>
          <w:lang w:val="en"/>
        </w:rPr>
        <w:t>licences</w:t>
      </w:r>
      <w:proofErr w:type="spellEnd"/>
      <w:r w:rsidRPr="001B358C">
        <w:rPr>
          <w:lang w:val="en"/>
        </w:rPr>
        <w:t xml:space="preserve"> </w:t>
      </w:r>
      <w:proofErr w:type="spellStart"/>
      <w:r w:rsidRPr="001B358C">
        <w:rPr>
          <w:lang w:val="en"/>
        </w:rPr>
        <w:t>etc</w:t>
      </w:r>
      <w:proofErr w:type="spellEnd"/>
      <w:r w:rsidRPr="001B358C">
        <w:rPr>
          <w:lang w:val="en"/>
        </w:rPr>
        <w:t xml:space="preserve">, which the Council is responsible for under the Gambling Act 2005. </w:t>
      </w:r>
    </w:p>
    <w:p w14:paraId="25A8A67D" w14:textId="77777777" w:rsidR="001B358C" w:rsidRPr="00C77C2E" w:rsidRDefault="001B358C" w:rsidP="00C77C2E">
      <w:pPr>
        <w:pStyle w:val="Heading3"/>
        <w:rPr>
          <w:b/>
          <w:bCs/>
          <w:u w:val="none"/>
          <w:lang w:val="en"/>
        </w:rPr>
      </w:pPr>
      <w:r w:rsidRPr="00C77C2E">
        <w:rPr>
          <w:b/>
          <w:bCs/>
          <w:u w:val="none"/>
          <w:lang w:val="en"/>
        </w:rPr>
        <w:t>Betting machines</w:t>
      </w:r>
    </w:p>
    <w:p w14:paraId="5207D610" w14:textId="77777777" w:rsidR="001B358C" w:rsidRPr="001B358C" w:rsidRDefault="001B358C" w:rsidP="00C77C2E">
      <w:pPr>
        <w:rPr>
          <w:b/>
          <w:lang w:val="en"/>
        </w:rPr>
      </w:pPr>
      <w:r w:rsidRPr="001B358C">
        <w:rPr>
          <w:lang w:val="en"/>
        </w:rPr>
        <w:t xml:space="preserve">A machine designed or adapted for the use to bet on future real events (not gaming machines). </w:t>
      </w:r>
    </w:p>
    <w:p w14:paraId="0D236D5F" w14:textId="77777777" w:rsidR="001B358C" w:rsidRPr="00C77C2E" w:rsidRDefault="001B358C" w:rsidP="00C77C2E">
      <w:pPr>
        <w:pStyle w:val="Heading3"/>
        <w:rPr>
          <w:b/>
          <w:bCs/>
          <w:u w:val="none"/>
          <w:lang w:val="en"/>
        </w:rPr>
      </w:pPr>
      <w:r w:rsidRPr="00C77C2E">
        <w:rPr>
          <w:b/>
          <w:bCs/>
          <w:u w:val="none"/>
          <w:lang w:val="en"/>
        </w:rPr>
        <w:t>Bingo</w:t>
      </w:r>
    </w:p>
    <w:p w14:paraId="2327882A" w14:textId="77777777" w:rsidR="001B358C" w:rsidRPr="001B358C" w:rsidRDefault="001B358C" w:rsidP="00C77C2E">
      <w:pPr>
        <w:rPr>
          <w:b/>
          <w:lang w:val="en"/>
        </w:rPr>
      </w:pPr>
      <w:r w:rsidRPr="001B358C">
        <w:rPr>
          <w:lang w:val="en"/>
        </w:rPr>
        <w:t xml:space="preserve">A game of equal chance. Bingo has no statutory definition. It is to have its ordinary and natural meaning. Under the previous legislation, two types of bingo could be offered: </w:t>
      </w:r>
    </w:p>
    <w:p w14:paraId="3E9F8501" w14:textId="77777777" w:rsidR="001B358C" w:rsidRPr="001B358C" w:rsidRDefault="001B358C" w:rsidP="009012B5">
      <w:pPr>
        <w:numPr>
          <w:ilvl w:val="0"/>
          <w:numId w:val="34"/>
        </w:numPr>
        <w:spacing w:before="100" w:beforeAutospacing="1" w:after="100" w:afterAutospacing="1"/>
        <w:rPr>
          <w:rFonts w:cs="Arial"/>
          <w:color w:val="000000"/>
          <w:szCs w:val="22"/>
          <w:lang w:val="en"/>
        </w:rPr>
      </w:pPr>
      <w:r w:rsidRPr="001B358C">
        <w:rPr>
          <w:rFonts w:cs="Arial"/>
          <w:color w:val="000000"/>
          <w:szCs w:val="22"/>
          <w:lang w:val="en"/>
        </w:rPr>
        <w:t>cash bingo, where the stakes paid made up the cash prizes that were won; or</w:t>
      </w:r>
    </w:p>
    <w:p w14:paraId="08BE57BA" w14:textId="77777777" w:rsidR="001B358C" w:rsidRPr="001B358C" w:rsidRDefault="001B358C" w:rsidP="009012B5">
      <w:pPr>
        <w:numPr>
          <w:ilvl w:val="0"/>
          <w:numId w:val="34"/>
        </w:numPr>
        <w:spacing w:before="100" w:beforeAutospacing="1" w:after="100" w:afterAutospacing="1"/>
        <w:rPr>
          <w:rFonts w:cs="Arial"/>
          <w:color w:val="000000"/>
          <w:szCs w:val="22"/>
          <w:lang w:val="en"/>
        </w:rPr>
      </w:pPr>
      <w:r w:rsidRPr="001B358C">
        <w:rPr>
          <w:rFonts w:cs="Arial"/>
          <w:color w:val="000000"/>
          <w:szCs w:val="22"/>
          <w:lang w:val="en"/>
        </w:rPr>
        <w:t>prize bingo, where various forms of prizes were won, not directly related to the stakes paid.</w:t>
      </w:r>
    </w:p>
    <w:p w14:paraId="09381E51" w14:textId="77777777" w:rsidR="001B358C" w:rsidRPr="001B358C" w:rsidRDefault="001B358C" w:rsidP="009012B5">
      <w:pPr>
        <w:pStyle w:val="NormalWeb"/>
        <w:rPr>
          <w:rFonts w:ascii="Arial" w:hAnsi="Arial" w:cs="Arial"/>
          <w:sz w:val="22"/>
          <w:lang w:val="en"/>
        </w:rPr>
      </w:pPr>
      <w:r w:rsidRPr="001B358C">
        <w:rPr>
          <w:rFonts w:ascii="Arial" w:hAnsi="Arial" w:cs="Arial"/>
          <w:sz w:val="22"/>
          <w:lang w:val="en"/>
        </w:rPr>
        <w:t xml:space="preserve">Traditionally, cash bingo was the main type of bingo played in commercial bingo halls. They could also offer prize bingo, largely as interval games. Under the 2005 Act, the distinction between </w:t>
      </w:r>
      <w:proofErr w:type="gramStart"/>
      <w:r w:rsidRPr="001B358C">
        <w:rPr>
          <w:rFonts w:ascii="Arial" w:hAnsi="Arial" w:cs="Arial"/>
          <w:sz w:val="22"/>
          <w:lang w:val="en"/>
        </w:rPr>
        <w:t>these two version of the game</w:t>
      </w:r>
      <w:proofErr w:type="gramEnd"/>
      <w:r w:rsidRPr="001B358C">
        <w:rPr>
          <w:rFonts w:ascii="Arial" w:hAnsi="Arial" w:cs="Arial"/>
          <w:sz w:val="22"/>
          <w:lang w:val="en"/>
        </w:rPr>
        <w:t xml:space="preserve"> was abolished for commercial operators, and the holder of a bingo operating </w:t>
      </w:r>
      <w:proofErr w:type="spellStart"/>
      <w:r w:rsidRPr="001B358C">
        <w:rPr>
          <w:rFonts w:ascii="Arial" w:hAnsi="Arial" w:cs="Arial"/>
          <w:sz w:val="22"/>
          <w:lang w:val="en"/>
        </w:rPr>
        <w:t>licence</w:t>
      </w:r>
      <w:proofErr w:type="spellEnd"/>
      <w:r w:rsidRPr="001B358C">
        <w:rPr>
          <w:rFonts w:ascii="Arial" w:hAnsi="Arial" w:cs="Arial"/>
          <w:sz w:val="22"/>
          <w:lang w:val="en"/>
        </w:rPr>
        <w:t xml:space="preserve"> can offer any type of bingo game, whether cash or prize. Apart from commercial bingo halls, prize bingo is traditionally a game played in arcades, especially seaside amusement arcades or travelling funfairs. For these operators, prize bingo has been subsumed within the allowances for prize gaming in the act. This means that adult gaming </w:t>
      </w:r>
      <w:proofErr w:type="spellStart"/>
      <w:r w:rsidRPr="001B358C">
        <w:rPr>
          <w:rFonts w:ascii="Arial" w:hAnsi="Arial" w:cs="Arial"/>
          <w:sz w:val="22"/>
          <w:lang w:val="en"/>
        </w:rPr>
        <w:t>centres</w:t>
      </w:r>
      <w:proofErr w:type="spellEnd"/>
      <w:r w:rsidRPr="001B358C">
        <w:rPr>
          <w:rFonts w:ascii="Arial" w:hAnsi="Arial" w:cs="Arial"/>
          <w:sz w:val="22"/>
          <w:lang w:val="en"/>
        </w:rPr>
        <w:t xml:space="preserve">, both licensed and unlicensed family entertainment </w:t>
      </w:r>
      <w:proofErr w:type="spellStart"/>
      <w:r w:rsidRPr="001B358C">
        <w:rPr>
          <w:rFonts w:ascii="Arial" w:hAnsi="Arial" w:cs="Arial"/>
          <w:sz w:val="22"/>
          <w:lang w:val="en"/>
        </w:rPr>
        <w:t>centres</w:t>
      </w:r>
      <w:proofErr w:type="spellEnd"/>
      <w:r w:rsidRPr="001B358C">
        <w:rPr>
          <w:rFonts w:ascii="Arial" w:hAnsi="Arial" w:cs="Arial"/>
          <w:sz w:val="22"/>
          <w:lang w:val="en"/>
        </w:rPr>
        <w:t xml:space="preserve">, and travelling fairs, (or any premises with a prize gaming permit) will be able to offer prize gaming, which includes prize bingo. </w:t>
      </w:r>
    </w:p>
    <w:p w14:paraId="48EFAF30" w14:textId="77777777" w:rsidR="001B358C" w:rsidRPr="001B358C" w:rsidRDefault="001B358C" w:rsidP="009012B5">
      <w:pPr>
        <w:pStyle w:val="NormalWeb"/>
        <w:rPr>
          <w:rFonts w:ascii="Arial" w:hAnsi="Arial" w:cs="Arial"/>
          <w:sz w:val="22"/>
          <w:lang w:val="en"/>
        </w:rPr>
      </w:pPr>
      <w:r w:rsidRPr="001B358C">
        <w:rPr>
          <w:rFonts w:ascii="Arial" w:hAnsi="Arial" w:cs="Arial"/>
          <w:sz w:val="22"/>
          <w:lang w:val="en"/>
        </w:rPr>
        <w:t xml:space="preserve">In this form of gaming, the nature of the prize must not be determined by reference to the number of people playing the game, and the nature or the size of the prize must not be determined by reference to the amount paid for or raised by gaming </w:t>
      </w:r>
    </w:p>
    <w:p w14:paraId="2E20B342" w14:textId="77777777" w:rsidR="00273BEE" w:rsidRPr="00C77C2E" w:rsidRDefault="001B358C" w:rsidP="00C77C2E">
      <w:pPr>
        <w:pStyle w:val="Heading3"/>
        <w:rPr>
          <w:b/>
          <w:bCs/>
          <w:u w:val="none"/>
          <w:lang w:val="en"/>
        </w:rPr>
      </w:pPr>
      <w:r w:rsidRPr="00C77C2E">
        <w:rPr>
          <w:b/>
          <w:bCs/>
          <w:u w:val="none"/>
          <w:lang w:val="en"/>
        </w:rPr>
        <w:t>Casino</w:t>
      </w:r>
    </w:p>
    <w:p w14:paraId="3789B741" w14:textId="77777777" w:rsidR="001B358C" w:rsidRPr="00273BEE" w:rsidRDefault="001B358C" w:rsidP="00C77C2E">
      <w:pPr>
        <w:rPr>
          <w:b/>
          <w:lang w:val="en"/>
        </w:rPr>
      </w:pPr>
      <w:r w:rsidRPr="00273BEE">
        <w:rPr>
          <w:lang w:val="en"/>
        </w:rPr>
        <w:t xml:space="preserve">An arrangement whereby people are given an opportunity to participate in one or more casino games. </w:t>
      </w:r>
    </w:p>
    <w:p w14:paraId="39480F02" w14:textId="77777777" w:rsidR="00273BEE" w:rsidRPr="00273BEE" w:rsidRDefault="00273BEE" w:rsidP="009012B5">
      <w:pPr>
        <w:rPr>
          <w:lang w:val="en" w:eastAsia="en-US"/>
        </w:rPr>
      </w:pPr>
    </w:p>
    <w:p w14:paraId="1C7483C4" w14:textId="77777777" w:rsidR="00273BEE" w:rsidRPr="00C77C2E" w:rsidRDefault="001B358C" w:rsidP="00C77C2E">
      <w:pPr>
        <w:pStyle w:val="Heading3"/>
        <w:rPr>
          <w:b/>
          <w:bCs/>
          <w:u w:val="none"/>
          <w:lang w:val="en"/>
        </w:rPr>
      </w:pPr>
      <w:r w:rsidRPr="00C77C2E">
        <w:rPr>
          <w:b/>
          <w:bCs/>
          <w:u w:val="none"/>
          <w:lang w:val="en"/>
        </w:rPr>
        <w:t>Children</w:t>
      </w:r>
    </w:p>
    <w:p w14:paraId="3CEFA6FB" w14:textId="77777777" w:rsidR="001B358C" w:rsidRPr="00273BEE" w:rsidRDefault="001B358C" w:rsidP="00C77C2E">
      <w:pPr>
        <w:rPr>
          <w:b/>
          <w:lang w:val="en"/>
        </w:rPr>
      </w:pPr>
      <w:r w:rsidRPr="00273BEE">
        <w:rPr>
          <w:lang w:val="en"/>
        </w:rPr>
        <w:t xml:space="preserve">Individual who is less than 16 years old </w:t>
      </w:r>
    </w:p>
    <w:p w14:paraId="50E5CE8A" w14:textId="77777777" w:rsidR="00273BEE" w:rsidRPr="00273BEE" w:rsidRDefault="00273BEE" w:rsidP="009012B5">
      <w:pPr>
        <w:rPr>
          <w:lang w:val="en" w:eastAsia="en-US"/>
        </w:rPr>
      </w:pPr>
    </w:p>
    <w:p w14:paraId="1B31586E" w14:textId="77777777" w:rsidR="00273BEE" w:rsidRPr="00C77C2E" w:rsidRDefault="001B358C" w:rsidP="00C77C2E">
      <w:pPr>
        <w:pStyle w:val="Heading3"/>
        <w:rPr>
          <w:b/>
          <w:bCs/>
          <w:u w:val="none"/>
          <w:lang w:val="en"/>
        </w:rPr>
      </w:pPr>
      <w:r w:rsidRPr="00C77C2E">
        <w:rPr>
          <w:b/>
          <w:bCs/>
          <w:u w:val="none"/>
          <w:lang w:val="en"/>
        </w:rPr>
        <w:t>Club Gaming Permit</w:t>
      </w:r>
    </w:p>
    <w:p w14:paraId="4F1A34B3" w14:textId="77777777" w:rsidR="001B358C" w:rsidRPr="00273BEE" w:rsidRDefault="001B358C" w:rsidP="00C77C2E">
      <w:pPr>
        <w:rPr>
          <w:b/>
          <w:lang w:val="en"/>
        </w:rPr>
      </w:pPr>
      <w:r w:rsidRPr="00273BEE">
        <w:rPr>
          <w:lang w:val="en"/>
        </w:rPr>
        <w:t>Cl</w:t>
      </w:r>
      <w:r w:rsidR="009012B5">
        <w:rPr>
          <w:lang w:val="en"/>
        </w:rPr>
        <w:t>ub gaming permits allow members</w:t>
      </w:r>
      <w:r w:rsidRPr="00273BEE">
        <w:rPr>
          <w:lang w:val="en"/>
        </w:rPr>
        <w:t xml:space="preserve"> clubs and miners’ welfare instit</w:t>
      </w:r>
      <w:r w:rsidR="009012B5">
        <w:rPr>
          <w:lang w:val="en"/>
        </w:rPr>
        <w:t>utes</w:t>
      </w:r>
      <w:r w:rsidRPr="00273BEE">
        <w:rPr>
          <w:lang w:val="en"/>
        </w:rPr>
        <w:t xml:space="preserve"> to provide gaming machines (3 machines of Category B, C or D), equal chance gaming and games of chance. </w:t>
      </w:r>
    </w:p>
    <w:p w14:paraId="3B648E78" w14:textId="77777777" w:rsidR="00273BEE" w:rsidRPr="00273BEE" w:rsidRDefault="00273BEE" w:rsidP="009012B5">
      <w:pPr>
        <w:rPr>
          <w:lang w:val="en" w:eastAsia="en-US"/>
        </w:rPr>
      </w:pPr>
    </w:p>
    <w:p w14:paraId="1BBA6A76" w14:textId="77777777" w:rsidR="00273BEE" w:rsidRPr="00C77C2E" w:rsidRDefault="001B358C" w:rsidP="00C77C2E">
      <w:pPr>
        <w:pStyle w:val="Heading3"/>
        <w:rPr>
          <w:b/>
          <w:bCs/>
          <w:u w:val="none"/>
          <w:lang w:val="en"/>
        </w:rPr>
      </w:pPr>
      <w:r w:rsidRPr="00C77C2E">
        <w:rPr>
          <w:b/>
          <w:bCs/>
          <w:u w:val="none"/>
          <w:lang w:val="en"/>
        </w:rPr>
        <w:t>C</w:t>
      </w:r>
      <w:r w:rsidR="00273BEE" w:rsidRPr="00C77C2E">
        <w:rPr>
          <w:b/>
          <w:bCs/>
          <w:u w:val="none"/>
          <w:lang w:val="en"/>
        </w:rPr>
        <w:t>lub</w:t>
      </w:r>
      <w:r w:rsidRPr="00C77C2E">
        <w:rPr>
          <w:b/>
          <w:bCs/>
          <w:u w:val="none"/>
          <w:lang w:val="en"/>
        </w:rPr>
        <w:t xml:space="preserve"> Machine Permit</w:t>
      </w:r>
    </w:p>
    <w:p w14:paraId="5992F4AD" w14:textId="77777777" w:rsidR="001B358C" w:rsidRPr="00273BEE" w:rsidRDefault="001B358C" w:rsidP="00C77C2E">
      <w:pPr>
        <w:rPr>
          <w:b/>
          <w:lang w:val="en"/>
        </w:rPr>
      </w:pPr>
      <w:r w:rsidRPr="00273BEE">
        <w:rPr>
          <w:lang w:val="en"/>
        </w:rPr>
        <w:t xml:space="preserve">These permits allow the holder to have up to 3 gaming machines of category B, C or D. </w:t>
      </w:r>
    </w:p>
    <w:p w14:paraId="75C17972" w14:textId="77777777" w:rsidR="00273BEE" w:rsidRPr="00273BEE" w:rsidRDefault="00273BEE" w:rsidP="009012B5">
      <w:pPr>
        <w:rPr>
          <w:lang w:val="en" w:eastAsia="en-US"/>
        </w:rPr>
      </w:pPr>
    </w:p>
    <w:p w14:paraId="1A5CFA23" w14:textId="77777777" w:rsidR="00273BEE" w:rsidRPr="00C77C2E" w:rsidRDefault="001B358C" w:rsidP="00C77C2E">
      <w:pPr>
        <w:pStyle w:val="Heading3"/>
        <w:rPr>
          <w:b/>
          <w:bCs/>
          <w:u w:val="none"/>
          <w:lang w:val="en"/>
        </w:rPr>
      </w:pPr>
      <w:r w:rsidRPr="00C77C2E">
        <w:rPr>
          <w:b/>
          <w:bCs/>
          <w:u w:val="none"/>
          <w:lang w:val="en"/>
        </w:rPr>
        <w:t>Code of Practice</w:t>
      </w:r>
    </w:p>
    <w:p w14:paraId="7BF4BD98" w14:textId="77777777" w:rsidR="001B358C" w:rsidRPr="00273BEE" w:rsidRDefault="001B358C" w:rsidP="00C77C2E">
      <w:pPr>
        <w:rPr>
          <w:b/>
          <w:color w:val="000000"/>
          <w:lang w:val="en"/>
        </w:rPr>
      </w:pPr>
      <w:r w:rsidRPr="00273BEE">
        <w:rPr>
          <w:lang w:val="en"/>
        </w:rPr>
        <w:t>Means any relevant code of practice under section</w:t>
      </w:r>
      <w:r w:rsidR="00FC10ED">
        <w:rPr>
          <w:lang w:val="en"/>
        </w:rPr>
        <w:t xml:space="preserve"> </w:t>
      </w:r>
      <w:r w:rsidRPr="00273BEE">
        <w:rPr>
          <w:lang w:val="en"/>
        </w:rPr>
        <w:t xml:space="preserve">24 of the Gambling Act 2005. </w:t>
      </w:r>
    </w:p>
    <w:p w14:paraId="771A68DA" w14:textId="77777777" w:rsidR="00273BEE" w:rsidRPr="00273BEE" w:rsidRDefault="00273BEE" w:rsidP="00C77C2E">
      <w:pPr>
        <w:rPr>
          <w:lang w:val="en"/>
        </w:rPr>
      </w:pPr>
    </w:p>
    <w:p w14:paraId="4B355E1E" w14:textId="77777777" w:rsidR="00273BEE" w:rsidRPr="00C77C2E" w:rsidRDefault="001B358C" w:rsidP="00C77C2E">
      <w:pPr>
        <w:pStyle w:val="Heading3"/>
        <w:rPr>
          <w:b/>
          <w:bCs/>
          <w:u w:val="none"/>
          <w:lang w:val="en"/>
        </w:rPr>
      </w:pPr>
      <w:r w:rsidRPr="00C77C2E">
        <w:rPr>
          <w:b/>
          <w:bCs/>
          <w:u w:val="none"/>
          <w:lang w:val="en"/>
        </w:rPr>
        <w:t>Default Conditions</w:t>
      </w:r>
    </w:p>
    <w:p w14:paraId="59688687" w14:textId="77777777" w:rsidR="001B358C" w:rsidRPr="00273BEE" w:rsidRDefault="001B358C" w:rsidP="00C77C2E">
      <w:pPr>
        <w:rPr>
          <w:b/>
          <w:lang w:val="en"/>
        </w:rPr>
      </w:pPr>
      <w:r w:rsidRPr="00273BEE">
        <w:rPr>
          <w:lang w:val="en"/>
        </w:rPr>
        <w:t xml:space="preserve">Conditions that will apply unless the Council decide to exclude them. This may apply to all Premises </w:t>
      </w:r>
      <w:proofErr w:type="spellStart"/>
      <w:r w:rsidRPr="00273BEE">
        <w:rPr>
          <w:lang w:val="en"/>
        </w:rPr>
        <w:t>Licences</w:t>
      </w:r>
      <w:proofErr w:type="spellEnd"/>
      <w:r w:rsidRPr="00273BEE">
        <w:rPr>
          <w:lang w:val="en"/>
        </w:rPr>
        <w:t xml:space="preserve">, to a class of Premises </w:t>
      </w:r>
      <w:proofErr w:type="spellStart"/>
      <w:r w:rsidRPr="00273BEE">
        <w:rPr>
          <w:lang w:val="en"/>
        </w:rPr>
        <w:t>Licence</w:t>
      </w:r>
      <w:proofErr w:type="spellEnd"/>
      <w:r w:rsidRPr="00273BEE">
        <w:rPr>
          <w:lang w:val="en"/>
        </w:rPr>
        <w:t xml:space="preserve"> or </w:t>
      </w:r>
      <w:proofErr w:type="spellStart"/>
      <w:r w:rsidRPr="00273BEE">
        <w:rPr>
          <w:lang w:val="en"/>
        </w:rPr>
        <w:t>licences</w:t>
      </w:r>
      <w:proofErr w:type="spellEnd"/>
      <w:r w:rsidRPr="00273BEE">
        <w:rPr>
          <w:lang w:val="en"/>
        </w:rPr>
        <w:t xml:space="preserve"> for specified circumstances. </w:t>
      </w:r>
    </w:p>
    <w:p w14:paraId="19FDDCE2" w14:textId="77777777" w:rsidR="00273BEE" w:rsidRPr="00273BEE" w:rsidRDefault="00273BEE" w:rsidP="009012B5">
      <w:pPr>
        <w:rPr>
          <w:lang w:val="en" w:eastAsia="en-US"/>
        </w:rPr>
      </w:pPr>
    </w:p>
    <w:p w14:paraId="3B0F9CE6" w14:textId="77777777" w:rsidR="00273BEE" w:rsidRPr="00C77C2E" w:rsidRDefault="001B358C" w:rsidP="00C77C2E">
      <w:pPr>
        <w:pStyle w:val="Heading3"/>
        <w:rPr>
          <w:b/>
          <w:bCs/>
          <w:u w:val="none"/>
          <w:lang w:val="en"/>
        </w:rPr>
      </w:pPr>
      <w:r w:rsidRPr="00C77C2E">
        <w:rPr>
          <w:b/>
          <w:bCs/>
          <w:u w:val="none"/>
          <w:lang w:val="en"/>
        </w:rPr>
        <w:t>Disorder</w:t>
      </w:r>
    </w:p>
    <w:p w14:paraId="6102F261" w14:textId="77777777" w:rsidR="001B358C" w:rsidRPr="009012B5" w:rsidRDefault="001B358C" w:rsidP="00C77C2E">
      <w:pPr>
        <w:rPr>
          <w:b/>
          <w:lang w:val="en"/>
        </w:rPr>
      </w:pPr>
      <w:r w:rsidRPr="009012B5">
        <w:rPr>
          <w:lang w:val="en"/>
        </w:rPr>
        <w:t xml:space="preserve">Disorder is intended to mean activity that is more serious and disruptive than mere nuisance. </w:t>
      </w:r>
    </w:p>
    <w:p w14:paraId="49195060" w14:textId="77777777" w:rsidR="00273BEE" w:rsidRPr="00273BEE" w:rsidRDefault="00273BEE" w:rsidP="009012B5">
      <w:pPr>
        <w:rPr>
          <w:lang w:val="en" w:eastAsia="en-US"/>
        </w:rPr>
      </w:pPr>
    </w:p>
    <w:p w14:paraId="6B2D443F" w14:textId="77777777" w:rsidR="00273BEE" w:rsidRPr="00C77C2E" w:rsidRDefault="001B358C" w:rsidP="00C77C2E">
      <w:pPr>
        <w:pStyle w:val="Heading3"/>
        <w:rPr>
          <w:b/>
          <w:bCs/>
          <w:u w:val="none"/>
          <w:lang w:val="en"/>
        </w:rPr>
      </w:pPr>
      <w:r w:rsidRPr="00C77C2E">
        <w:rPr>
          <w:b/>
          <w:bCs/>
          <w:u w:val="none"/>
          <w:lang w:val="en"/>
        </w:rPr>
        <w:t>Equal Chance Gaming</w:t>
      </w:r>
    </w:p>
    <w:p w14:paraId="42A008C4" w14:textId="77777777" w:rsidR="001B358C" w:rsidRPr="009012B5" w:rsidRDefault="001B358C" w:rsidP="00C77C2E">
      <w:pPr>
        <w:rPr>
          <w:b/>
          <w:lang w:val="en"/>
        </w:rPr>
      </w:pPr>
      <w:r w:rsidRPr="009012B5">
        <w:rPr>
          <w:lang w:val="en"/>
        </w:rPr>
        <w:t xml:space="preserve">Games that do not involve playing or staking against a bank and where the chances are equally </w:t>
      </w:r>
      <w:proofErr w:type="spellStart"/>
      <w:r w:rsidRPr="009012B5">
        <w:rPr>
          <w:lang w:val="en"/>
        </w:rPr>
        <w:t>favourable</w:t>
      </w:r>
      <w:proofErr w:type="spellEnd"/>
      <w:r w:rsidRPr="009012B5">
        <w:rPr>
          <w:lang w:val="en"/>
        </w:rPr>
        <w:t xml:space="preserve"> to all participants </w:t>
      </w:r>
    </w:p>
    <w:p w14:paraId="107D25FE" w14:textId="77777777" w:rsidR="00273BEE" w:rsidRPr="00273BEE" w:rsidRDefault="00273BEE" w:rsidP="009012B5">
      <w:pPr>
        <w:rPr>
          <w:lang w:val="en" w:eastAsia="en-US"/>
        </w:rPr>
      </w:pPr>
    </w:p>
    <w:p w14:paraId="2C272C22" w14:textId="77777777" w:rsidR="00273BEE" w:rsidRPr="00C77C2E" w:rsidRDefault="00273BEE" w:rsidP="00C77C2E">
      <w:pPr>
        <w:pStyle w:val="Heading3"/>
        <w:rPr>
          <w:b/>
          <w:bCs/>
          <w:u w:val="none"/>
          <w:lang w:val="en"/>
        </w:rPr>
      </w:pPr>
      <w:r w:rsidRPr="00C77C2E">
        <w:rPr>
          <w:b/>
          <w:bCs/>
          <w:u w:val="none"/>
          <w:lang w:val="en"/>
        </w:rPr>
        <w:t xml:space="preserve">Family Entertainment </w:t>
      </w:r>
      <w:proofErr w:type="spellStart"/>
      <w:r w:rsidRPr="00C77C2E">
        <w:rPr>
          <w:b/>
          <w:bCs/>
          <w:u w:val="none"/>
          <w:lang w:val="en"/>
        </w:rPr>
        <w:t>Centres</w:t>
      </w:r>
      <w:proofErr w:type="spellEnd"/>
    </w:p>
    <w:p w14:paraId="75D4EA4B" w14:textId="77777777" w:rsidR="001B358C" w:rsidRPr="00273BEE" w:rsidRDefault="001B358C" w:rsidP="00C77C2E">
      <w:pPr>
        <w:rPr>
          <w:b/>
          <w:lang w:val="en"/>
        </w:rPr>
      </w:pPr>
      <w:r w:rsidRPr="00273BEE">
        <w:rPr>
          <w:lang w:val="en"/>
        </w:rPr>
        <w:t xml:space="preserve">Family Entertainment Centre, licensed or unlicensed but operating with a permit may </w:t>
      </w:r>
      <w:proofErr w:type="spellStart"/>
      <w:r w:rsidRPr="00273BEE">
        <w:rPr>
          <w:lang w:val="en"/>
        </w:rPr>
        <w:t>provided</w:t>
      </w:r>
      <w:proofErr w:type="spellEnd"/>
      <w:r w:rsidRPr="00273BEE">
        <w:rPr>
          <w:lang w:val="en"/>
        </w:rPr>
        <w:t xml:space="preserve"> any number of gaming machines of category C or D. </w:t>
      </w:r>
    </w:p>
    <w:p w14:paraId="042D2634" w14:textId="77777777" w:rsidR="00273BEE" w:rsidRPr="00273BEE" w:rsidRDefault="00273BEE" w:rsidP="009012B5">
      <w:pPr>
        <w:rPr>
          <w:lang w:val="en" w:eastAsia="en-US"/>
        </w:rPr>
      </w:pPr>
    </w:p>
    <w:p w14:paraId="531F3C2E" w14:textId="77777777" w:rsidR="00273BEE" w:rsidRPr="00C77C2E" w:rsidRDefault="001B358C" w:rsidP="00C77C2E">
      <w:pPr>
        <w:pStyle w:val="Heading3"/>
        <w:rPr>
          <w:b/>
          <w:bCs/>
          <w:u w:val="none"/>
          <w:lang w:val="en"/>
        </w:rPr>
      </w:pPr>
      <w:r w:rsidRPr="00C77C2E">
        <w:rPr>
          <w:b/>
          <w:bCs/>
          <w:u w:val="none"/>
          <w:lang w:val="en"/>
        </w:rPr>
        <w:t>Occasional Use Notices</w:t>
      </w:r>
    </w:p>
    <w:p w14:paraId="70549FC1" w14:textId="77777777" w:rsidR="001B358C" w:rsidRPr="00273BEE" w:rsidRDefault="001B358C" w:rsidP="00C77C2E">
      <w:pPr>
        <w:rPr>
          <w:b/>
          <w:lang w:val="en"/>
        </w:rPr>
      </w:pPr>
      <w:r w:rsidRPr="00273BEE">
        <w:rPr>
          <w:lang w:val="en"/>
        </w:rPr>
        <w:t xml:space="preserve">Where there is betting on a track on up to eight days in a calendar year, betting may be permitted by an Occasional Use Notice without the need for a Premises </w:t>
      </w:r>
      <w:proofErr w:type="spellStart"/>
      <w:r w:rsidRPr="00273BEE">
        <w:rPr>
          <w:lang w:val="en"/>
        </w:rPr>
        <w:t>licence</w:t>
      </w:r>
      <w:proofErr w:type="spellEnd"/>
      <w:r w:rsidRPr="00273BEE">
        <w:rPr>
          <w:lang w:val="en"/>
        </w:rPr>
        <w:t xml:space="preserve">. A track includes a horse </w:t>
      </w:r>
      <w:proofErr w:type="gramStart"/>
      <w:r w:rsidRPr="00273BEE">
        <w:rPr>
          <w:lang w:val="en"/>
        </w:rPr>
        <w:t>race course</w:t>
      </w:r>
      <w:proofErr w:type="gramEnd"/>
      <w:r w:rsidRPr="00273BEE">
        <w:rPr>
          <w:lang w:val="en"/>
        </w:rPr>
        <w:t xml:space="preserve">, dog track and temporary tracks for races or sporting events. </w:t>
      </w:r>
    </w:p>
    <w:p w14:paraId="7981904B" w14:textId="77777777" w:rsidR="00273BEE" w:rsidRPr="00273BEE" w:rsidRDefault="00273BEE" w:rsidP="009012B5">
      <w:pPr>
        <w:rPr>
          <w:lang w:val="en" w:eastAsia="en-US"/>
        </w:rPr>
      </w:pPr>
    </w:p>
    <w:p w14:paraId="7A897DB6" w14:textId="77777777" w:rsidR="00273BEE" w:rsidRPr="00C77C2E" w:rsidRDefault="001B358C" w:rsidP="00C77C2E">
      <w:pPr>
        <w:pStyle w:val="Heading3"/>
        <w:rPr>
          <w:b/>
          <w:bCs/>
          <w:u w:val="none"/>
          <w:lang w:val="en"/>
        </w:rPr>
      </w:pPr>
      <w:r w:rsidRPr="00C77C2E">
        <w:rPr>
          <w:b/>
          <w:bCs/>
          <w:u w:val="none"/>
          <w:lang w:val="en"/>
        </w:rPr>
        <w:t xml:space="preserve">Operating </w:t>
      </w:r>
      <w:proofErr w:type="spellStart"/>
      <w:r w:rsidRPr="00C77C2E">
        <w:rPr>
          <w:b/>
          <w:bCs/>
          <w:u w:val="none"/>
          <w:lang w:val="en"/>
        </w:rPr>
        <w:t>Licence</w:t>
      </w:r>
      <w:proofErr w:type="spellEnd"/>
    </w:p>
    <w:p w14:paraId="07A8A1B0" w14:textId="77777777" w:rsidR="001B358C" w:rsidRDefault="001B358C" w:rsidP="00C77C2E">
      <w:pPr>
        <w:rPr>
          <w:b/>
          <w:lang w:val="en"/>
        </w:rPr>
      </w:pPr>
      <w:proofErr w:type="spellStart"/>
      <w:r w:rsidRPr="009012B5">
        <w:rPr>
          <w:lang w:val="en"/>
        </w:rPr>
        <w:t>Authorises</w:t>
      </w:r>
      <w:proofErr w:type="spellEnd"/>
      <w:r w:rsidRPr="009012B5">
        <w:rPr>
          <w:lang w:val="en"/>
        </w:rPr>
        <w:t xml:space="preserve"> individuals or companies to provide facilities for certain types of remote or non-remote gambling. These </w:t>
      </w:r>
      <w:proofErr w:type="spellStart"/>
      <w:r w:rsidRPr="009012B5">
        <w:rPr>
          <w:lang w:val="en"/>
        </w:rPr>
        <w:t>licences</w:t>
      </w:r>
      <w:proofErr w:type="spellEnd"/>
      <w:r w:rsidRPr="009012B5">
        <w:rPr>
          <w:lang w:val="en"/>
        </w:rPr>
        <w:t xml:space="preserve"> are issued by the Gambling Commission and generally cover the principle commercial forms of gambling operating. A single </w:t>
      </w:r>
      <w:proofErr w:type="spellStart"/>
      <w:r w:rsidRPr="009012B5">
        <w:rPr>
          <w:lang w:val="en"/>
        </w:rPr>
        <w:t>licence</w:t>
      </w:r>
      <w:proofErr w:type="spellEnd"/>
      <w:r w:rsidRPr="009012B5">
        <w:rPr>
          <w:lang w:val="en"/>
        </w:rPr>
        <w:t xml:space="preserve"> cannot </w:t>
      </w:r>
      <w:proofErr w:type="spellStart"/>
      <w:r w:rsidRPr="009012B5">
        <w:rPr>
          <w:lang w:val="en"/>
        </w:rPr>
        <w:t>authorise</w:t>
      </w:r>
      <w:proofErr w:type="spellEnd"/>
      <w:r w:rsidRPr="009012B5">
        <w:rPr>
          <w:lang w:val="en"/>
        </w:rPr>
        <w:t xml:space="preserve"> remote and non- remote activities; separate operating </w:t>
      </w:r>
      <w:proofErr w:type="spellStart"/>
      <w:r w:rsidRPr="009012B5">
        <w:rPr>
          <w:lang w:val="en"/>
        </w:rPr>
        <w:t>licences</w:t>
      </w:r>
      <w:proofErr w:type="spellEnd"/>
      <w:r w:rsidRPr="009012B5">
        <w:rPr>
          <w:lang w:val="en"/>
        </w:rPr>
        <w:t xml:space="preserve"> are need for this. Conditions may be attached. </w:t>
      </w:r>
    </w:p>
    <w:p w14:paraId="6B4F8612" w14:textId="77777777" w:rsidR="009012B5" w:rsidRPr="009012B5" w:rsidRDefault="009012B5" w:rsidP="009012B5">
      <w:pPr>
        <w:rPr>
          <w:lang w:val="en" w:eastAsia="en-US"/>
        </w:rPr>
      </w:pPr>
    </w:p>
    <w:p w14:paraId="64D75606" w14:textId="77777777" w:rsidR="009012B5" w:rsidRPr="00C77C2E" w:rsidRDefault="001B358C" w:rsidP="00C77C2E">
      <w:pPr>
        <w:pStyle w:val="Heading3"/>
        <w:rPr>
          <w:b/>
          <w:bCs/>
          <w:u w:val="none"/>
          <w:lang w:val="en"/>
        </w:rPr>
      </w:pPr>
      <w:r w:rsidRPr="00C77C2E">
        <w:rPr>
          <w:b/>
          <w:bCs/>
          <w:u w:val="none"/>
          <w:lang w:val="en"/>
        </w:rPr>
        <w:t xml:space="preserve">Personal </w:t>
      </w:r>
      <w:proofErr w:type="spellStart"/>
      <w:r w:rsidRPr="00C77C2E">
        <w:rPr>
          <w:b/>
          <w:bCs/>
          <w:u w:val="none"/>
          <w:lang w:val="en"/>
        </w:rPr>
        <w:t>Licences</w:t>
      </w:r>
      <w:proofErr w:type="spellEnd"/>
    </w:p>
    <w:p w14:paraId="340C1D31" w14:textId="77777777" w:rsidR="001B358C" w:rsidRDefault="001B358C" w:rsidP="00C77C2E">
      <w:pPr>
        <w:rPr>
          <w:b/>
          <w:lang w:val="en"/>
        </w:rPr>
      </w:pPr>
      <w:r w:rsidRPr="009012B5">
        <w:rPr>
          <w:lang w:val="en"/>
        </w:rPr>
        <w:t xml:space="preserve">Except for small scale operations, for each operating </w:t>
      </w:r>
      <w:proofErr w:type="spellStart"/>
      <w:r w:rsidRPr="009012B5">
        <w:rPr>
          <w:lang w:val="en"/>
        </w:rPr>
        <w:t>licence</w:t>
      </w:r>
      <w:proofErr w:type="spellEnd"/>
      <w:r w:rsidRPr="009012B5">
        <w:rPr>
          <w:lang w:val="en"/>
        </w:rPr>
        <w:t xml:space="preserve">, at least one person who holds a specified management office must hold a personal </w:t>
      </w:r>
      <w:proofErr w:type="spellStart"/>
      <w:r w:rsidRPr="009012B5">
        <w:rPr>
          <w:lang w:val="en"/>
        </w:rPr>
        <w:t>licence</w:t>
      </w:r>
      <w:proofErr w:type="spellEnd"/>
      <w:r w:rsidRPr="009012B5">
        <w:rPr>
          <w:lang w:val="en"/>
        </w:rPr>
        <w:t xml:space="preserve">. These </w:t>
      </w:r>
      <w:proofErr w:type="spellStart"/>
      <w:r w:rsidRPr="009012B5">
        <w:rPr>
          <w:lang w:val="en"/>
        </w:rPr>
        <w:t>licences</w:t>
      </w:r>
      <w:proofErr w:type="spellEnd"/>
      <w:r w:rsidRPr="009012B5">
        <w:rPr>
          <w:lang w:val="en"/>
        </w:rPr>
        <w:t xml:space="preserve"> are issued by the Gambling Commission with the aim of ensuring that individuals who control facilities for gambling or </w:t>
      </w:r>
      <w:proofErr w:type="gramStart"/>
      <w:r w:rsidRPr="009012B5">
        <w:rPr>
          <w:lang w:val="en"/>
        </w:rPr>
        <w:t>are able to</w:t>
      </w:r>
      <w:proofErr w:type="gramEnd"/>
      <w:r w:rsidRPr="009012B5">
        <w:rPr>
          <w:lang w:val="en"/>
        </w:rPr>
        <w:t xml:space="preserve"> influence the outcome of gambling are suitable to carry out those functions. These </w:t>
      </w:r>
      <w:proofErr w:type="spellStart"/>
      <w:r w:rsidRPr="009012B5">
        <w:rPr>
          <w:lang w:val="en"/>
        </w:rPr>
        <w:t>licences</w:t>
      </w:r>
      <w:proofErr w:type="spellEnd"/>
      <w:r w:rsidRPr="009012B5">
        <w:rPr>
          <w:lang w:val="en"/>
        </w:rPr>
        <w:t xml:space="preserve"> are not </w:t>
      </w:r>
      <w:r w:rsidRPr="009012B5">
        <w:rPr>
          <w:lang w:val="en"/>
        </w:rPr>
        <w:lastRenderedPageBreak/>
        <w:t xml:space="preserve">transferable and cannot be held by </w:t>
      </w:r>
      <w:proofErr w:type="gramStart"/>
      <w:r w:rsidRPr="009012B5">
        <w:rPr>
          <w:lang w:val="en"/>
        </w:rPr>
        <w:t>companies</w:t>
      </w:r>
      <w:proofErr w:type="gramEnd"/>
      <w:r w:rsidRPr="009012B5">
        <w:rPr>
          <w:lang w:val="en"/>
        </w:rPr>
        <w:t xml:space="preserve"> but companies are likely to want their key staff to hold a personal </w:t>
      </w:r>
      <w:proofErr w:type="spellStart"/>
      <w:r w:rsidRPr="009012B5">
        <w:rPr>
          <w:lang w:val="en"/>
        </w:rPr>
        <w:t>licence</w:t>
      </w:r>
      <w:proofErr w:type="spellEnd"/>
      <w:r w:rsidRPr="009012B5">
        <w:rPr>
          <w:lang w:val="en"/>
        </w:rPr>
        <w:t xml:space="preserve">. </w:t>
      </w:r>
    </w:p>
    <w:p w14:paraId="4FC8A1B0" w14:textId="77777777" w:rsidR="009012B5" w:rsidRPr="009012B5" w:rsidRDefault="009012B5" w:rsidP="009012B5">
      <w:pPr>
        <w:rPr>
          <w:lang w:val="en" w:eastAsia="en-US"/>
        </w:rPr>
      </w:pPr>
    </w:p>
    <w:p w14:paraId="5EEFC250" w14:textId="77777777" w:rsidR="009012B5" w:rsidRPr="00C77C2E" w:rsidRDefault="001B358C" w:rsidP="00C77C2E">
      <w:pPr>
        <w:pStyle w:val="Heading3"/>
        <w:rPr>
          <w:b/>
          <w:bCs/>
          <w:u w:val="none"/>
          <w:lang w:val="en"/>
        </w:rPr>
      </w:pPr>
      <w:r w:rsidRPr="00C77C2E">
        <w:rPr>
          <w:b/>
          <w:bCs/>
          <w:u w:val="none"/>
          <w:lang w:val="en"/>
        </w:rPr>
        <w:t>Premises</w:t>
      </w:r>
    </w:p>
    <w:p w14:paraId="2EFE6E0D" w14:textId="77777777" w:rsidR="001B358C" w:rsidRPr="009012B5" w:rsidRDefault="001B358C" w:rsidP="00C77C2E">
      <w:pPr>
        <w:rPr>
          <w:b/>
          <w:lang w:val="en"/>
        </w:rPr>
      </w:pPr>
      <w:r w:rsidRPr="009012B5">
        <w:rPr>
          <w:lang w:val="en"/>
        </w:rPr>
        <w:t xml:space="preserve">“Premises” is defined in the Act as “any place”. Different premises </w:t>
      </w:r>
      <w:proofErr w:type="spellStart"/>
      <w:r w:rsidRPr="009012B5">
        <w:rPr>
          <w:lang w:val="en"/>
        </w:rPr>
        <w:t>licences</w:t>
      </w:r>
      <w:proofErr w:type="spellEnd"/>
      <w:r w:rsidRPr="009012B5">
        <w:rPr>
          <w:lang w:val="en"/>
        </w:rPr>
        <w:t xml:space="preserve"> cannot apply in respect of a single premise at different times. However, it is possible for a single building to be subject to more than one premises </w:t>
      </w:r>
      <w:proofErr w:type="spellStart"/>
      <w:r w:rsidRPr="009012B5">
        <w:rPr>
          <w:lang w:val="en"/>
        </w:rPr>
        <w:t>licence</w:t>
      </w:r>
      <w:proofErr w:type="spellEnd"/>
      <w:r w:rsidRPr="009012B5">
        <w:rPr>
          <w:lang w:val="en"/>
        </w:rPr>
        <w:t xml:space="preserve">, provided they are for different parts of the building and the different parts of the building can be reasonably regarded as being different premises. Whether different parts of a building can properly be regarded as separate premises will always be a question of fact in the circumstances. However, the Council would have to consider very carefully whether areas of a building that are artificially or temporarily separate can properly be regarded as different premises. </w:t>
      </w:r>
    </w:p>
    <w:p w14:paraId="71D0AD48" w14:textId="77777777" w:rsidR="009012B5" w:rsidRPr="009012B5" w:rsidRDefault="009012B5" w:rsidP="009012B5">
      <w:pPr>
        <w:rPr>
          <w:lang w:val="en" w:eastAsia="en-US"/>
        </w:rPr>
      </w:pPr>
    </w:p>
    <w:p w14:paraId="6D9484B6" w14:textId="77777777" w:rsidR="009012B5" w:rsidRPr="00C77C2E" w:rsidRDefault="001B358C" w:rsidP="00C77C2E">
      <w:pPr>
        <w:pStyle w:val="Heading3"/>
        <w:rPr>
          <w:b/>
          <w:bCs/>
          <w:u w:val="none"/>
          <w:lang w:val="en"/>
        </w:rPr>
      </w:pPr>
      <w:r w:rsidRPr="00C77C2E">
        <w:rPr>
          <w:b/>
          <w:bCs/>
          <w:u w:val="none"/>
          <w:lang w:val="en"/>
        </w:rPr>
        <w:t xml:space="preserve">Premises </w:t>
      </w:r>
      <w:proofErr w:type="spellStart"/>
      <w:r w:rsidRPr="00C77C2E">
        <w:rPr>
          <w:b/>
          <w:bCs/>
          <w:u w:val="none"/>
          <w:lang w:val="en"/>
        </w:rPr>
        <w:t>Licence</w:t>
      </w:r>
      <w:proofErr w:type="spellEnd"/>
    </w:p>
    <w:p w14:paraId="75B42723" w14:textId="77777777" w:rsidR="001B358C" w:rsidRPr="009012B5" w:rsidRDefault="001B358C" w:rsidP="00C77C2E">
      <w:pPr>
        <w:rPr>
          <w:b/>
          <w:lang w:val="en"/>
        </w:rPr>
      </w:pPr>
      <w:proofErr w:type="spellStart"/>
      <w:r w:rsidRPr="009012B5">
        <w:rPr>
          <w:lang w:val="en"/>
        </w:rPr>
        <w:t>Authorises</w:t>
      </w:r>
      <w:proofErr w:type="spellEnd"/>
      <w:r w:rsidRPr="009012B5">
        <w:rPr>
          <w:lang w:val="en"/>
        </w:rPr>
        <w:t xml:space="preserve"> the provision of facilities for gambling on premises for casinos, bingo, betting (including tracks), adult gaming </w:t>
      </w:r>
      <w:proofErr w:type="spellStart"/>
      <w:r w:rsidRPr="009012B5">
        <w:rPr>
          <w:lang w:val="en"/>
        </w:rPr>
        <w:t>centres</w:t>
      </w:r>
      <w:proofErr w:type="spellEnd"/>
      <w:r w:rsidRPr="009012B5">
        <w:rPr>
          <w:lang w:val="en"/>
        </w:rPr>
        <w:t xml:space="preserve"> and family entertainment </w:t>
      </w:r>
      <w:proofErr w:type="spellStart"/>
      <w:r w:rsidRPr="009012B5">
        <w:rPr>
          <w:lang w:val="en"/>
        </w:rPr>
        <w:t>centres</w:t>
      </w:r>
      <w:proofErr w:type="spellEnd"/>
      <w:r w:rsidRPr="009012B5">
        <w:rPr>
          <w:lang w:val="en"/>
        </w:rPr>
        <w:t xml:space="preserve">. The Premises </w:t>
      </w:r>
      <w:proofErr w:type="spellStart"/>
      <w:r w:rsidRPr="009012B5">
        <w:rPr>
          <w:lang w:val="en"/>
        </w:rPr>
        <w:t>licence</w:t>
      </w:r>
      <w:proofErr w:type="spellEnd"/>
      <w:r w:rsidRPr="009012B5">
        <w:rPr>
          <w:lang w:val="en"/>
        </w:rPr>
        <w:t xml:space="preserve"> will include details of conditions. These </w:t>
      </w:r>
      <w:proofErr w:type="spellStart"/>
      <w:r w:rsidRPr="009012B5">
        <w:rPr>
          <w:lang w:val="en"/>
        </w:rPr>
        <w:t>licences</w:t>
      </w:r>
      <w:proofErr w:type="spellEnd"/>
      <w:r w:rsidRPr="009012B5">
        <w:rPr>
          <w:lang w:val="en"/>
        </w:rPr>
        <w:t xml:space="preserve"> are issued by the Council, are valid for the life of the premises, subject to any reviews that may be triggered and can lapse in certain circumstances, with no annual renewal required, although there is an annual fee. These </w:t>
      </w:r>
      <w:proofErr w:type="spellStart"/>
      <w:r w:rsidRPr="009012B5">
        <w:rPr>
          <w:lang w:val="en"/>
        </w:rPr>
        <w:t>licences</w:t>
      </w:r>
      <w:proofErr w:type="spellEnd"/>
      <w:r w:rsidRPr="009012B5">
        <w:rPr>
          <w:lang w:val="en"/>
        </w:rPr>
        <w:t xml:space="preserve"> are transferable to someone else holds a valid operating </w:t>
      </w:r>
      <w:proofErr w:type="spellStart"/>
      <w:r w:rsidRPr="009012B5">
        <w:rPr>
          <w:lang w:val="en"/>
        </w:rPr>
        <w:t>licence</w:t>
      </w:r>
      <w:proofErr w:type="spellEnd"/>
      <w:r w:rsidRPr="009012B5">
        <w:rPr>
          <w:lang w:val="en"/>
        </w:rPr>
        <w:t xml:space="preserve">. </w:t>
      </w:r>
    </w:p>
    <w:p w14:paraId="262BDD32" w14:textId="77777777" w:rsidR="009012B5" w:rsidRPr="00C77C2E" w:rsidRDefault="001B358C" w:rsidP="00C77C2E">
      <w:pPr>
        <w:pStyle w:val="Heading3"/>
        <w:rPr>
          <w:b/>
          <w:bCs/>
          <w:u w:val="none"/>
          <w:lang w:val="en"/>
        </w:rPr>
      </w:pPr>
      <w:r w:rsidRPr="00C77C2E">
        <w:rPr>
          <w:b/>
          <w:bCs/>
          <w:u w:val="none"/>
          <w:lang w:val="en"/>
        </w:rPr>
        <w:t>Prize Gaming Permits and prize gaming</w:t>
      </w:r>
    </w:p>
    <w:p w14:paraId="7BD1850D" w14:textId="77777777" w:rsidR="001B358C" w:rsidRPr="009012B5" w:rsidRDefault="001B358C" w:rsidP="00C77C2E">
      <w:pPr>
        <w:rPr>
          <w:b/>
          <w:lang w:val="en"/>
        </w:rPr>
      </w:pPr>
      <w:r w:rsidRPr="009012B5">
        <w:rPr>
          <w:lang w:val="en"/>
        </w:rPr>
        <w:t xml:space="preserve">This permit allows the provision of facilities for gaming and prizes on specified premises. “Prize gaming” refers to gaming where the nature and size of the prize is not determined by the numbers of people playing or the amount paid for or raised by the gaming. The prizes will be determined by the operators before the play commences. </w:t>
      </w:r>
    </w:p>
    <w:p w14:paraId="2FEA4546" w14:textId="77777777" w:rsidR="009012B5" w:rsidRPr="009012B5" w:rsidRDefault="009012B5" w:rsidP="009012B5">
      <w:pPr>
        <w:rPr>
          <w:lang w:val="en" w:eastAsia="en-US"/>
        </w:rPr>
      </w:pPr>
    </w:p>
    <w:p w14:paraId="49706A84" w14:textId="77777777" w:rsidR="009012B5" w:rsidRPr="00C77C2E" w:rsidRDefault="001B358C" w:rsidP="00C77C2E">
      <w:pPr>
        <w:pStyle w:val="Heading3"/>
        <w:rPr>
          <w:b/>
          <w:bCs/>
          <w:u w:val="none"/>
          <w:lang w:val="en"/>
        </w:rPr>
      </w:pPr>
      <w:r w:rsidRPr="00C77C2E">
        <w:rPr>
          <w:b/>
          <w:bCs/>
          <w:u w:val="none"/>
          <w:lang w:val="en"/>
        </w:rPr>
        <w:t>Temporary Use Notices</w:t>
      </w:r>
    </w:p>
    <w:p w14:paraId="78B32CDB" w14:textId="77777777" w:rsidR="001B358C" w:rsidRDefault="001B358C" w:rsidP="00C77C2E">
      <w:pPr>
        <w:rPr>
          <w:lang w:val="en"/>
        </w:rPr>
      </w:pPr>
      <w:r w:rsidRPr="009012B5">
        <w:rPr>
          <w:lang w:val="en"/>
        </w:rPr>
        <w:t xml:space="preserve">These </w:t>
      </w:r>
      <w:proofErr w:type="spellStart"/>
      <w:r w:rsidRPr="009012B5">
        <w:rPr>
          <w:lang w:val="en"/>
        </w:rPr>
        <w:t>licences</w:t>
      </w:r>
      <w:proofErr w:type="spellEnd"/>
      <w:r w:rsidRPr="009012B5">
        <w:rPr>
          <w:lang w:val="en"/>
        </w:rPr>
        <w:t xml:space="preserve"> </w:t>
      </w:r>
      <w:proofErr w:type="spellStart"/>
      <w:r w:rsidRPr="009012B5">
        <w:rPr>
          <w:lang w:val="en"/>
        </w:rPr>
        <w:t>authorise</w:t>
      </w:r>
      <w:proofErr w:type="spellEnd"/>
      <w:r w:rsidRPr="009012B5">
        <w:rPr>
          <w:lang w:val="en"/>
        </w:rPr>
        <w:t xml:space="preserve"> the person or company holding a relevant operating </w:t>
      </w:r>
      <w:proofErr w:type="spellStart"/>
      <w:r w:rsidRPr="009012B5">
        <w:rPr>
          <w:lang w:val="en"/>
        </w:rPr>
        <w:t>licence</w:t>
      </w:r>
      <w:proofErr w:type="spellEnd"/>
      <w:r w:rsidRPr="009012B5">
        <w:rPr>
          <w:lang w:val="en"/>
        </w:rPr>
        <w:t xml:space="preserve"> to use the premises temporarily for providing facilities for gambling where there are no premises </w:t>
      </w:r>
      <w:proofErr w:type="spellStart"/>
      <w:r w:rsidRPr="009012B5">
        <w:rPr>
          <w:lang w:val="en"/>
        </w:rPr>
        <w:t>licence</w:t>
      </w:r>
      <w:proofErr w:type="spellEnd"/>
      <w:r w:rsidRPr="009012B5">
        <w:rPr>
          <w:lang w:val="en"/>
        </w:rPr>
        <w:t xml:space="preserve">. Such premises could include hotels, conference </w:t>
      </w:r>
      <w:proofErr w:type="spellStart"/>
      <w:r w:rsidRPr="009012B5">
        <w:rPr>
          <w:lang w:val="en"/>
        </w:rPr>
        <w:t>centres</w:t>
      </w:r>
      <w:proofErr w:type="spellEnd"/>
      <w:r w:rsidRPr="009012B5">
        <w:rPr>
          <w:lang w:val="en"/>
        </w:rPr>
        <w:t xml:space="preserve"> and sporting venues. </w:t>
      </w:r>
    </w:p>
    <w:p w14:paraId="0CCCC4C6" w14:textId="77777777" w:rsidR="009012B5" w:rsidRPr="009012B5" w:rsidRDefault="009012B5" w:rsidP="009012B5">
      <w:pPr>
        <w:rPr>
          <w:lang w:val="en" w:eastAsia="en-US"/>
        </w:rPr>
      </w:pPr>
    </w:p>
    <w:p w14:paraId="26A5931C" w14:textId="77777777" w:rsidR="009012B5" w:rsidRPr="00C77C2E" w:rsidRDefault="001B358C" w:rsidP="00C77C2E">
      <w:pPr>
        <w:pStyle w:val="Heading3"/>
        <w:rPr>
          <w:b/>
          <w:bCs/>
          <w:u w:val="none"/>
          <w:lang w:val="en"/>
        </w:rPr>
      </w:pPr>
      <w:r w:rsidRPr="00C77C2E">
        <w:rPr>
          <w:b/>
          <w:bCs/>
          <w:u w:val="none"/>
          <w:lang w:val="en"/>
        </w:rPr>
        <w:t>Unlicensed Family Entertainment Centre Gaming Machine Permit</w:t>
      </w:r>
    </w:p>
    <w:p w14:paraId="39094EF9" w14:textId="77777777" w:rsidR="001B358C" w:rsidRPr="009012B5" w:rsidRDefault="001B358C" w:rsidP="00C77C2E">
      <w:pPr>
        <w:rPr>
          <w:b/>
          <w:color w:val="000000"/>
          <w:lang w:val="en"/>
        </w:rPr>
      </w:pPr>
      <w:r w:rsidRPr="009012B5">
        <w:rPr>
          <w:lang w:val="en"/>
        </w:rPr>
        <w:t xml:space="preserve">These allow the use of an unlimited number of category D gaming machines in these premises to a person who occupies or plans to occupy the premises to be used as an unlicensed family entertainment </w:t>
      </w:r>
      <w:proofErr w:type="spellStart"/>
      <w:r w:rsidRPr="009012B5">
        <w:rPr>
          <w:lang w:val="en"/>
        </w:rPr>
        <w:t>centre</w:t>
      </w:r>
      <w:proofErr w:type="spellEnd"/>
      <w:r w:rsidRPr="009012B5">
        <w:rPr>
          <w:lang w:val="en"/>
        </w:rPr>
        <w:t xml:space="preserve">. An application for this permit cannot be made where a premises </w:t>
      </w:r>
      <w:proofErr w:type="spellStart"/>
      <w:r w:rsidRPr="009012B5">
        <w:rPr>
          <w:lang w:val="en"/>
        </w:rPr>
        <w:t>licence</w:t>
      </w:r>
      <w:proofErr w:type="spellEnd"/>
      <w:r w:rsidRPr="009012B5">
        <w:rPr>
          <w:lang w:val="en"/>
        </w:rPr>
        <w:t xml:space="preserve"> is in effect on the same premises. </w:t>
      </w:r>
    </w:p>
    <w:p w14:paraId="352769F8" w14:textId="77777777" w:rsidR="001B358C" w:rsidRPr="00BA5031" w:rsidRDefault="001B358C" w:rsidP="008D6739">
      <w:pPr>
        <w:rPr>
          <w:b/>
          <w:bCs/>
          <w:szCs w:val="22"/>
        </w:rPr>
      </w:pPr>
    </w:p>
    <w:p w14:paraId="44191BD2" w14:textId="77777777" w:rsidR="00AF1C9B" w:rsidRDefault="00AF1C9B" w:rsidP="008D6739">
      <w:pPr>
        <w:rPr>
          <w:b/>
          <w:bCs/>
          <w:sz w:val="24"/>
        </w:rPr>
      </w:pPr>
    </w:p>
    <w:p w14:paraId="124D2122" w14:textId="77777777" w:rsidR="00194034" w:rsidRDefault="00194034" w:rsidP="008D6739">
      <w:pPr>
        <w:rPr>
          <w:b/>
          <w:bCs/>
          <w:sz w:val="24"/>
          <w:u w:val="single"/>
        </w:rPr>
      </w:pPr>
    </w:p>
    <w:p w14:paraId="33FCC0A9" w14:textId="77777777" w:rsidR="009012B5" w:rsidRDefault="009012B5" w:rsidP="008D6739">
      <w:pPr>
        <w:rPr>
          <w:b/>
          <w:bCs/>
          <w:sz w:val="24"/>
          <w:u w:val="single"/>
        </w:rPr>
      </w:pPr>
    </w:p>
    <w:p w14:paraId="0277ECCA" w14:textId="77777777" w:rsidR="009012B5" w:rsidRDefault="009012B5" w:rsidP="008D6739">
      <w:pPr>
        <w:rPr>
          <w:b/>
          <w:bCs/>
          <w:sz w:val="24"/>
          <w:u w:val="single"/>
        </w:rPr>
      </w:pPr>
    </w:p>
    <w:p w14:paraId="4DC3A93F" w14:textId="77777777" w:rsidR="009012B5" w:rsidRDefault="009012B5" w:rsidP="008D6739">
      <w:pPr>
        <w:rPr>
          <w:b/>
          <w:bCs/>
          <w:sz w:val="24"/>
          <w:u w:val="single"/>
        </w:rPr>
      </w:pPr>
    </w:p>
    <w:p w14:paraId="6640A1A4" w14:textId="77777777" w:rsidR="009012B5" w:rsidRDefault="009012B5" w:rsidP="008D6739">
      <w:pPr>
        <w:rPr>
          <w:b/>
          <w:bCs/>
          <w:sz w:val="24"/>
          <w:u w:val="single"/>
        </w:rPr>
      </w:pPr>
    </w:p>
    <w:p w14:paraId="5885F38F" w14:textId="77777777" w:rsidR="009012B5" w:rsidRDefault="009012B5" w:rsidP="008D6739">
      <w:pPr>
        <w:rPr>
          <w:b/>
          <w:bCs/>
          <w:sz w:val="24"/>
          <w:u w:val="single"/>
        </w:rPr>
      </w:pPr>
    </w:p>
    <w:p w14:paraId="25DD8CC4" w14:textId="77777777" w:rsidR="009012B5" w:rsidRDefault="009012B5" w:rsidP="008D6739">
      <w:pPr>
        <w:rPr>
          <w:b/>
          <w:bCs/>
          <w:sz w:val="24"/>
          <w:u w:val="single"/>
        </w:rPr>
      </w:pPr>
    </w:p>
    <w:p w14:paraId="3F6E108C" w14:textId="77777777" w:rsidR="009871AE" w:rsidRDefault="009871AE" w:rsidP="008D6739">
      <w:pPr>
        <w:rPr>
          <w:b/>
          <w:bCs/>
          <w:sz w:val="24"/>
          <w:u w:val="single"/>
        </w:rPr>
      </w:pPr>
    </w:p>
    <w:p w14:paraId="7C7DA06D" w14:textId="5C083EEA" w:rsidR="009871AE" w:rsidRDefault="009871AE" w:rsidP="008D6739">
      <w:pPr>
        <w:rPr>
          <w:b/>
          <w:bCs/>
          <w:sz w:val="24"/>
          <w:u w:val="single"/>
        </w:rPr>
      </w:pPr>
    </w:p>
    <w:p w14:paraId="436276B1" w14:textId="77777777" w:rsidR="00C77C2E" w:rsidRDefault="00C77C2E" w:rsidP="008D6739">
      <w:pPr>
        <w:rPr>
          <w:b/>
          <w:bCs/>
          <w:sz w:val="24"/>
          <w:u w:val="single"/>
        </w:rPr>
      </w:pPr>
    </w:p>
    <w:p w14:paraId="7A806011" w14:textId="77777777" w:rsidR="009871AE" w:rsidRDefault="009871AE" w:rsidP="008D6739">
      <w:pPr>
        <w:rPr>
          <w:b/>
          <w:bCs/>
          <w:sz w:val="24"/>
          <w:u w:val="single"/>
        </w:rPr>
      </w:pPr>
    </w:p>
    <w:p w14:paraId="29F270BA" w14:textId="77777777" w:rsidR="009871AE" w:rsidRDefault="009871AE" w:rsidP="008D6739">
      <w:pPr>
        <w:rPr>
          <w:b/>
          <w:bCs/>
          <w:sz w:val="24"/>
          <w:u w:val="single"/>
        </w:rPr>
      </w:pPr>
    </w:p>
    <w:p w14:paraId="54DB4F7C" w14:textId="77777777" w:rsidR="00197A82" w:rsidRPr="00197A82" w:rsidRDefault="00C0354A" w:rsidP="00C77C2E">
      <w:pPr>
        <w:pStyle w:val="Heading2"/>
      </w:pPr>
      <w:r>
        <w:t>Appendix 9</w:t>
      </w:r>
    </w:p>
    <w:p w14:paraId="7C851F8F" w14:textId="77777777" w:rsidR="00197A82" w:rsidRDefault="00197A82" w:rsidP="008D6739">
      <w:pPr>
        <w:rPr>
          <w:b/>
          <w:bCs/>
          <w:sz w:val="24"/>
          <w:u w:val="single"/>
        </w:rPr>
      </w:pPr>
    </w:p>
    <w:p w14:paraId="1A18B726" w14:textId="77777777" w:rsidR="00AF1C9B" w:rsidRDefault="00AF1C9B" w:rsidP="008D6739">
      <w:pPr>
        <w:rPr>
          <w:b/>
          <w:bCs/>
          <w:sz w:val="24"/>
          <w:u w:val="single"/>
        </w:rPr>
      </w:pPr>
      <w:r>
        <w:rPr>
          <w:b/>
          <w:bCs/>
          <w:sz w:val="24"/>
          <w:u w:val="single"/>
        </w:rPr>
        <w:t>GAMCARE</w:t>
      </w:r>
    </w:p>
    <w:p w14:paraId="4136EC92" w14:textId="77777777" w:rsidR="0004749A" w:rsidRDefault="0004749A" w:rsidP="008D6739">
      <w:pPr>
        <w:rPr>
          <w:b/>
          <w:bCs/>
          <w:sz w:val="24"/>
          <w:u w:val="single"/>
        </w:rPr>
      </w:pPr>
    </w:p>
    <w:p w14:paraId="731E669E" w14:textId="77777777" w:rsidR="0004749A" w:rsidRPr="005B64EB" w:rsidRDefault="0004749A" w:rsidP="008D6739">
      <w:pPr>
        <w:rPr>
          <w:rFonts w:cs="Arial"/>
          <w:color w:val="000000"/>
          <w:szCs w:val="22"/>
        </w:rPr>
      </w:pPr>
      <w:proofErr w:type="spellStart"/>
      <w:r w:rsidRPr="00A64A82">
        <w:rPr>
          <w:bCs/>
          <w:szCs w:val="22"/>
        </w:rPr>
        <w:t>GamCare</w:t>
      </w:r>
      <w:proofErr w:type="spellEnd"/>
      <w:r w:rsidRPr="0093418B">
        <w:rPr>
          <w:b/>
          <w:bCs/>
          <w:szCs w:val="22"/>
          <w:u w:val="single"/>
        </w:rPr>
        <w:t xml:space="preserve"> </w:t>
      </w:r>
      <w:r w:rsidRPr="0004749A">
        <w:rPr>
          <w:rFonts w:cs="Arial"/>
          <w:color w:val="000000"/>
          <w:szCs w:val="22"/>
        </w:rPr>
        <w:t>is the leading provider of information, advice, support and free counselling for the prevention and treatment of problem gambling.</w:t>
      </w:r>
      <w:r w:rsidRPr="00E82CC1">
        <w:rPr>
          <w:rFonts w:cs="Arial"/>
          <w:color w:val="000000"/>
          <w:szCs w:val="22"/>
        </w:rPr>
        <w:t xml:space="preserve"> They </w:t>
      </w:r>
      <w:r w:rsidRPr="00CD7656">
        <w:rPr>
          <w:rFonts w:cs="Arial"/>
          <w:color w:val="000000"/>
          <w:szCs w:val="22"/>
        </w:rPr>
        <w:t>operate the National Gambling Helpline, provide treatment for problem gamblers and their families, create awareness about responsible gambling and treatment, and encourage an effective approach to responsible gambling within the gambling industry.</w:t>
      </w:r>
    </w:p>
    <w:p w14:paraId="7053A379" w14:textId="77777777" w:rsidR="0004749A" w:rsidRPr="005B64EB" w:rsidRDefault="0004749A" w:rsidP="008D6739">
      <w:pPr>
        <w:rPr>
          <w:rFonts w:cs="Arial"/>
          <w:color w:val="000000"/>
          <w:szCs w:val="22"/>
        </w:rPr>
      </w:pPr>
    </w:p>
    <w:p w14:paraId="53B33E56" w14:textId="77777777" w:rsidR="0004749A" w:rsidRDefault="0004749A" w:rsidP="008D6739">
      <w:pPr>
        <w:rPr>
          <w:rFonts w:cs="Arial"/>
          <w:color w:val="000000"/>
          <w:szCs w:val="22"/>
        </w:rPr>
      </w:pPr>
      <w:proofErr w:type="spellStart"/>
      <w:r w:rsidRPr="00BF22CD">
        <w:rPr>
          <w:rFonts w:cs="Arial"/>
          <w:color w:val="000000"/>
          <w:szCs w:val="22"/>
        </w:rPr>
        <w:t>GamCare</w:t>
      </w:r>
      <w:proofErr w:type="spellEnd"/>
      <w:r w:rsidRPr="00BF22CD">
        <w:rPr>
          <w:rFonts w:cs="Arial"/>
          <w:color w:val="000000"/>
          <w:szCs w:val="22"/>
        </w:rPr>
        <w:t xml:space="preserve"> </w:t>
      </w:r>
      <w:r w:rsidRPr="002D4D12">
        <w:rPr>
          <w:rFonts w:cs="Arial"/>
          <w:color w:val="000000"/>
          <w:szCs w:val="22"/>
        </w:rPr>
        <w:t>can be contact</w:t>
      </w:r>
      <w:r>
        <w:rPr>
          <w:rFonts w:cs="Arial"/>
          <w:color w:val="000000"/>
          <w:szCs w:val="22"/>
        </w:rPr>
        <w:t>ed</w:t>
      </w:r>
      <w:r w:rsidRPr="0004749A">
        <w:rPr>
          <w:rFonts w:cs="Arial"/>
          <w:color w:val="000000"/>
          <w:szCs w:val="22"/>
        </w:rPr>
        <w:t xml:space="preserve"> on their </w:t>
      </w:r>
      <w:r w:rsidRPr="0093418B">
        <w:rPr>
          <w:rFonts w:cs="Arial"/>
          <w:b/>
          <w:color w:val="000000"/>
          <w:szCs w:val="22"/>
        </w:rPr>
        <w:t>Freephone Helpline</w:t>
      </w:r>
      <w:r w:rsidRPr="0004749A">
        <w:rPr>
          <w:rFonts w:cs="Arial"/>
          <w:color w:val="000000"/>
          <w:szCs w:val="22"/>
        </w:rPr>
        <w:t xml:space="preserve"> </w:t>
      </w:r>
      <w:r w:rsidRPr="0004749A">
        <w:rPr>
          <w:rFonts w:cs="Arial"/>
          <w:b/>
          <w:color w:val="000000"/>
          <w:szCs w:val="22"/>
        </w:rPr>
        <w:t>0808 8020 133</w:t>
      </w:r>
      <w:r w:rsidR="00A64A82">
        <w:rPr>
          <w:rFonts w:cs="Arial"/>
          <w:color w:val="000000"/>
          <w:szCs w:val="22"/>
        </w:rPr>
        <w:t xml:space="preserve"> 24 hours a day,</w:t>
      </w:r>
      <w:r w:rsidRPr="0004749A">
        <w:rPr>
          <w:rFonts w:cs="Arial"/>
          <w:color w:val="000000"/>
          <w:szCs w:val="22"/>
        </w:rPr>
        <w:t xml:space="preserve"> 7 days a week.</w:t>
      </w:r>
      <w:r w:rsidRPr="00E82CC1">
        <w:rPr>
          <w:rFonts w:cs="Arial"/>
          <w:color w:val="000000"/>
          <w:szCs w:val="22"/>
        </w:rPr>
        <w:t xml:space="preserve"> </w:t>
      </w:r>
    </w:p>
    <w:p w14:paraId="1E6B39F1" w14:textId="77777777" w:rsidR="00FC10ED" w:rsidRDefault="00FC10ED" w:rsidP="008D6739">
      <w:pPr>
        <w:rPr>
          <w:rFonts w:cs="Arial"/>
          <w:color w:val="000000"/>
          <w:szCs w:val="22"/>
        </w:rPr>
      </w:pPr>
    </w:p>
    <w:p w14:paraId="129A9E15" w14:textId="77777777" w:rsidR="0004749A" w:rsidRDefault="00A64A82" w:rsidP="008D6739">
      <w:pPr>
        <w:rPr>
          <w:rFonts w:cs="Arial"/>
          <w:b/>
          <w:color w:val="000000"/>
          <w:szCs w:val="22"/>
        </w:rPr>
      </w:pPr>
      <w:r>
        <w:rPr>
          <w:rFonts w:cs="Arial"/>
          <w:color w:val="000000"/>
          <w:szCs w:val="22"/>
        </w:rPr>
        <w:t xml:space="preserve">You can also access online support such as live chats, groups chats and </w:t>
      </w:r>
      <w:proofErr w:type="spellStart"/>
      <w:r>
        <w:rPr>
          <w:rFonts w:cs="Arial"/>
          <w:color w:val="000000"/>
          <w:szCs w:val="22"/>
        </w:rPr>
        <w:t>Gamcare</w:t>
      </w:r>
      <w:proofErr w:type="spellEnd"/>
      <w:r>
        <w:rPr>
          <w:rFonts w:cs="Arial"/>
          <w:color w:val="000000"/>
          <w:szCs w:val="22"/>
        </w:rPr>
        <w:t xml:space="preserve"> forum on their website.</w:t>
      </w:r>
      <w:r w:rsidR="0004749A" w:rsidRPr="005B64EB">
        <w:rPr>
          <w:rFonts w:cs="Arial"/>
          <w:color w:val="000000"/>
          <w:szCs w:val="22"/>
        </w:rPr>
        <w:t xml:space="preserve"> </w:t>
      </w:r>
      <w:r>
        <w:rPr>
          <w:rFonts w:cs="Arial"/>
          <w:color w:val="000000"/>
          <w:szCs w:val="22"/>
        </w:rPr>
        <w:t>P</w:t>
      </w:r>
      <w:r w:rsidR="0004749A" w:rsidRPr="005B64EB">
        <w:rPr>
          <w:rFonts w:cs="Arial"/>
          <w:color w:val="000000"/>
          <w:szCs w:val="22"/>
        </w:rPr>
        <w:t xml:space="preserve">lease </w:t>
      </w:r>
      <w:r w:rsidR="0004749A" w:rsidRPr="0093418B">
        <w:rPr>
          <w:rFonts w:cs="Arial"/>
          <w:b/>
          <w:color w:val="000000"/>
          <w:szCs w:val="22"/>
        </w:rPr>
        <w:t xml:space="preserve">visit </w:t>
      </w:r>
      <w:hyperlink r:id="rId30" w:history="1">
        <w:r w:rsidRPr="003C4ED5">
          <w:rPr>
            <w:rStyle w:val="Hyperlink"/>
            <w:rFonts w:cs="Arial"/>
            <w:b/>
            <w:szCs w:val="22"/>
          </w:rPr>
          <w:t>www.gamcare.org.uk</w:t>
        </w:r>
      </w:hyperlink>
    </w:p>
    <w:p w14:paraId="50AF42B3" w14:textId="77777777" w:rsidR="009D781D" w:rsidRPr="00D47368" w:rsidRDefault="009D781D" w:rsidP="009D781D">
      <w:pPr>
        <w:rPr>
          <w:szCs w:val="22"/>
        </w:rPr>
      </w:pPr>
    </w:p>
    <w:sectPr w:rsidR="009D781D" w:rsidRPr="00D47368" w:rsidSect="00E96D17">
      <w:footerReference w:type="default" r:id="rId31"/>
      <w:pgSz w:w="11906" w:h="16838"/>
      <w:pgMar w:top="1440" w:right="1800" w:bottom="1440" w:left="1800" w:header="72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278F" w14:textId="77777777" w:rsidR="00630540" w:rsidRDefault="00630540">
      <w:r>
        <w:separator/>
      </w:r>
    </w:p>
  </w:endnote>
  <w:endnote w:type="continuationSeparator" w:id="0">
    <w:p w14:paraId="5DA1A35D" w14:textId="77777777" w:rsidR="00630540" w:rsidRDefault="0063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Std Light">
    <w:altName w:val="Arial MT Std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BA43" w14:textId="77777777" w:rsidR="00630540" w:rsidRDefault="00630540">
    <w:pPr>
      <w:pStyle w:val="Footer"/>
      <w:jc w:val="right"/>
    </w:pPr>
  </w:p>
  <w:p w14:paraId="62F0969F" w14:textId="77777777" w:rsidR="00630540" w:rsidRDefault="00630540" w:rsidP="00AF1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7A6" w14:textId="77777777" w:rsidR="00630540" w:rsidRDefault="00630540">
    <w:pPr>
      <w:pStyle w:val="Footer"/>
      <w:jc w:val="right"/>
    </w:pPr>
    <w:r>
      <w:fldChar w:fldCharType="begin"/>
    </w:r>
    <w:r>
      <w:instrText xml:space="preserve"> PAGE   \* MERGEFORMAT </w:instrText>
    </w:r>
    <w:r>
      <w:fldChar w:fldCharType="separate"/>
    </w:r>
    <w:r>
      <w:rPr>
        <w:noProof/>
      </w:rPr>
      <w:t>1</w:t>
    </w:r>
    <w:r>
      <w:rPr>
        <w:noProof/>
      </w:rPr>
      <w:fldChar w:fldCharType="end"/>
    </w:r>
  </w:p>
  <w:p w14:paraId="4531224C" w14:textId="77777777" w:rsidR="00630540" w:rsidRDefault="0063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5015" w14:textId="77777777" w:rsidR="00630540" w:rsidRDefault="00630540">
    <w:pPr>
      <w:pStyle w:val="Footer"/>
      <w:jc w:val="right"/>
    </w:pPr>
    <w:r>
      <w:fldChar w:fldCharType="begin"/>
    </w:r>
    <w:r>
      <w:instrText xml:space="preserve"> PAGE   \* MERGEFORMAT </w:instrText>
    </w:r>
    <w:r>
      <w:fldChar w:fldCharType="separate"/>
    </w:r>
    <w:r w:rsidR="00051A59">
      <w:rPr>
        <w:noProof/>
      </w:rPr>
      <w:t>3</w:t>
    </w:r>
    <w:r>
      <w:rPr>
        <w:noProof/>
      </w:rPr>
      <w:fldChar w:fldCharType="end"/>
    </w:r>
  </w:p>
  <w:p w14:paraId="7152F59D" w14:textId="77777777" w:rsidR="00630540" w:rsidRDefault="00630540" w:rsidP="00AF1C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7980" w14:textId="77777777" w:rsidR="00630540" w:rsidRDefault="00630540">
      <w:r>
        <w:separator/>
      </w:r>
    </w:p>
  </w:footnote>
  <w:footnote w:type="continuationSeparator" w:id="0">
    <w:p w14:paraId="18B4AC9D" w14:textId="77777777" w:rsidR="00630540" w:rsidRDefault="00630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92F8" w14:textId="4DAB59DD" w:rsidR="00F36262" w:rsidRDefault="00F36262">
    <w:pPr>
      <w:pStyle w:val="Header"/>
    </w:pPr>
    <w:r>
      <w:rPr>
        <w:noProof/>
      </w:rPr>
      <w:drawing>
        <wp:anchor distT="0" distB="0" distL="114300" distR="114300" simplePos="0" relativeHeight="251659264" behindDoc="0" locked="0" layoutInCell="1" allowOverlap="1" wp14:anchorId="41A358D0" wp14:editId="2D91AF99">
          <wp:simplePos x="0" y="0"/>
          <wp:positionH relativeFrom="column">
            <wp:posOffset>-1045028</wp:posOffset>
          </wp:positionH>
          <wp:positionV relativeFrom="paragraph">
            <wp:posOffset>-463212</wp:posOffset>
          </wp:positionV>
          <wp:extent cx="3149600" cy="965835"/>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2917" t="10582" r="55380"/>
                  <a:stretch>
                    <a:fillRect/>
                  </a:stretch>
                </pic:blipFill>
                <pic:spPr bwMode="auto">
                  <a:xfrm>
                    <a:off x="0" y="0"/>
                    <a:ext cx="3149600" cy="965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7F9"/>
    <w:multiLevelType w:val="hybridMultilevel"/>
    <w:tmpl w:val="9BE8A5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17B090C"/>
    <w:multiLevelType w:val="hybridMultilevel"/>
    <w:tmpl w:val="813E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32C4E"/>
    <w:multiLevelType w:val="multilevel"/>
    <w:tmpl w:val="E1E8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7114E"/>
    <w:multiLevelType w:val="hybridMultilevel"/>
    <w:tmpl w:val="00121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AE261D"/>
    <w:multiLevelType w:val="hybridMultilevel"/>
    <w:tmpl w:val="E22C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D148F"/>
    <w:multiLevelType w:val="hybridMultilevel"/>
    <w:tmpl w:val="EA38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21F9C"/>
    <w:multiLevelType w:val="hybridMultilevel"/>
    <w:tmpl w:val="D74A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E259DF"/>
    <w:multiLevelType w:val="hybridMultilevel"/>
    <w:tmpl w:val="F3B02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497DE7"/>
    <w:multiLevelType w:val="hybridMultilevel"/>
    <w:tmpl w:val="B08EB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7728E3"/>
    <w:multiLevelType w:val="hybridMultilevel"/>
    <w:tmpl w:val="8A429958"/>
    <w:lvl w:ilvl="0" w:tplc="25164586">
      <w:start w:val="1"/>
      <w:numFmt w:val="bullet"/>
      <w:lvlText w:val=""/>
      <w:lvlJc w:val="left"/>
      <w:pPr>
        <w:tabs>
          <w:tab w:val="num" w:pos="494"/>
        </w:tabs>
        <w:ind w:left="494" w:hanging="360"/>
      </w:pPr>
      <w:rPr>
        <w:rFonts w:ascii="Symbol" w:hAnsi="Symbol" w:hint="default"/>
      </w:rPr>
    </w:lvl>
    <w:lvl w:ilvl="1" w:tplc="08090003" w:tentative="1">
      <w:start w:val="1"/>
      <w:numFmt w:val="bullet"/>
      <w:lvlText w:val="o"/>
      <w:lvlJc w:val="left"/>
      <w:pPr>
        <w:tabs>
          <w:tab w:val="num" w:pos="1574"/>
        </w:tabs>
        <w:ind w:left="1574" w:hanging="360"/>
      </w:pPr>
      <w:rPr>
        <w:rFonts w:ascii="Courier New" w:hAnsi="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10" w15:restartNumberingAfterBreak="0">
    <w:nsid w:val="15B02A0B"/>
    <w:multiLevelType w:val="multilevel"/>
    <w:tmpl w:val="5AB2C5AC"/>
    <w:lvl w:ilvl="0">
      <w:start w:val="1"/>
      <w:numFmt w:val="decimal"/>
      <w:pStyle w:val="GBCReportBodyHeading"/>
      <w:lvlText w:val="%1."/>
      <w:lvlJc w:val="center"/>
      <w:pPr>
        <w:tabs>
          <w:tab w:val="num" w:pos="360"/>
        </w:tabs>
        <w:ind w:left="360" w:hanging="360"/>
      </w:pPr>
      <w:rPr>
        <w:rFonts w:cs="Times New Roman"/>
      </w:rPr>
    </w:lvl>
    <w:lvl w:ilvl="1">
      <w:start w:val="1"/>
      <w:numFmt w:val="decimal"/>
      <w:pStyle w:val="GBCReportBodyText"/>
      <w:lvlText w:val="%1.%2"/>
      <w:lvlJc w:val="left"/>
      <w:pPr>
        <w:tabs>
          <w:tab w:val="num" w:pos="1008"/>
        </w:tabs>
        <w:ind w:left="1008" w:hanging="648"/>
      </w:pPr>
      <w:rPr>
        <w:rFonts w:cs="Times New Roman"/>
      </w:rPr>
    </w:lvl>
    <w:lvl w:ilvl="2">
      <w:start w:val="1"/>
      <w:numFmt w:val="decimal"/>
      <w:lvlText w:val="%1.%2.%3"/>
      <w:lvlJc w:val="left"/>
      <w:pPr>
        <w:tabs>
          <w:tab w:val="num" w:pos="1728"/>
        </w:tabs>
        <w:ind w:left="1728" w:hanging="720"/>
      </w:pPr>
      <w:rPr>
        <w:rFonts w:cs="Times New Roman"/>
      </w:rPr>
    </w:lvl>
    <w:lvl w:ilvl="3">
      <w:start w:val="1"/>
      <w:numFmt w:val="decimal"/>
      <w:lvlText w:val="%1.%2.%3.%4"/>
      <w:lvlJc w:val="left"/>
      <w:pPr>
        <w:tabs>
          <w:tab w:val="num" w:pos="2592"/>
        </w:tabs>
        <w:ind w:left="2592" w:hanging="864"/>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024"/>
        </w:tabs>
        <w:ind w:left="3024" w:hanging="1224"/>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176"/>
        </w:tabs>
        <w:ind w:left="4176" w:hanging="1656"/>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1" w15:restartNumberingAfterBreak="0">
    <w:nsid w:val="199D482F"/>
    <w:multiLevelType w:val="hybridMultilevel"/>
    <w:tmpl w:val="DC16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B298C"/>
    <w:multiLevelType w:val="hybridMultilevel"/>
    <w:tmpl w:val="2F5428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C2D1BAA"/>
    <w:multiLevelType w:val="hybridMultilevel"/>
    <w:tmpl w:val="FACC2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1B6501"/>
    <w:multiLevelType w:val="hybridMultilevel"/>
    <w:tmpl w:val="2F984386"/>
    <w:lvl w:ilvl="0" w:tplc="A66E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A6C29"/>
    <w:multiLevelType w:val="hybridMultilevel"/>
    <w:tmpl w:val="FD7E8C9C"/>
    <w:lvl w:ilvl="0" w:tplc="08090001">
      <w:start w:val="1"/>
      <w:numFmt w:val="bullet"/>
      <w:lvlText w:val=""/>
      <w:lvlJc w:val="left"/>
      <w:pPr>
        <w:ind w:left="720" w:hanging="360"/>
      </w:pPr>
      <w:rPr>
        <w:rFonts w:ascii="Symbol" w:hAnsi="Symbol" w:hint="default"/>
      </w:rPr>
    </w:lvl>
    <w:lvl w:ilvl="1" w:tplc="E624AE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B011C0"/>
    <w:multiLevelType w:val="hybridMultilevel"/>
    <w:tmpl w:val="61E89DC2"/>
    <w:lvl w:ilvl="0" w:tplc="A66E69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502F5"/>
    <w:multiLevelType w:val="hybridMultilevel"/>
    <w:tmpl w:val="5A84E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5A3663"/>
    <w:multiLevelType w:val="hybridMultilevel"/>
    <w:tmpl w:val="7A5A564C"/>
    <w:lvl w:ilvl="0" w:tplc="A66E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F5535"/>
    <w:multiLevelType w:val="hybridMultilevel"/>
    <w:tmpl w:val="FC9C9B36"/>
    <w:lvl w:ilvl="0" w:tplc="B6D216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15487F"/>
    <w:multiLevelType w:val="multilevel"/>
    <w:tmpl w:val="D4685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9732D"/>
    <w:multiLevelType w:val="hybridMultilevel"/>
    <w:tmpl w:val="CCD6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2062E"/>
    <w:multiLevelType w:val="hybridMultilevel"/>
    <w:tmpl w:val="655AC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83EE5"/>
    <w:multiLevelType w:val="multilevel"/>
    <w:tmpl w:val="918061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lvlText w:val="%3.1"/>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48A36F7"/>
    <w:multiLevelType w:val="hybridMultilevel"/>
    <w:tmpl w:val="BDEC82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12705"/>
    <w:multiLevelType w:val="hybridMultilevel"/>
    <w:tmpl w:val="4344D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B7210"/>
    <w:multiLevelType w:val="hybridMultilevel"/>
    <w:tmpl w:val="F8E85EA2"/>
    <w:lvl w:ilvl="0" w:tplc="08090001">
      <w:start w:val="1"/>
      <w:numFmt w:val="bullet"/>
      <w:lvlText w:val=""/>
      <w:lvlJc w:val="left"/>
      <w:pPr>
        <w:ind w:left="720" w:hanging="360"/>
      </w:pPr>
      <w:rPr>
        <w:rFonts w:ascii="Symbol" w:hAnsi="Symbol" w:hint="default"/>
      </w:rPr>
    </w:lvl>
    <w:lvl w:ilvl="1" w:tplc="C53E681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46A43"/>
    <w:multiLevelType w:val="hybridMultilevel"/>
    <w:tmpl w:val="B5BEC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5073F7"/>
    <w:multiLevelType w:val="hybridMultilevel"/>
    <w:tmpl w:val="499C3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B4D33"/>
    <w:multiLevelType w:val="hybridMultilevel"/>
    <w:tmpl w:val="B0D09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C82522"/>
    <w:multiLevelType w:val="hybridMultilevel"/>
    <w:tmpl w:val="80829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BA49C1"/>
    <w:multiLevelType w:val="hybridMultilevel"/>
    <w:tmpl w:val="4FE2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A15EFC"/>
    <w:multiLevelType w:val="hybridMultilevel"/>
    <w:tmpl w:val="5D96DE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14BFB"/>
    <w:multiLevelType w:val="hybridMultilevel"/>
    <w:tmpl w:val="505A2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E5D1B"/>
    <w:multiLevelType w:val="multilevel"/>
    <w:tmpl w:val="34527846"/>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5" w15:restartNumberingAfterBreak="0">
    <w:nsid w:val="67E16455"/>
    <w:multiLevelType w:val="hybridMultilevel"/>
    <w:tmpl w:val="C1601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A90FA6"/>
    <w:multiLevelType w:val="hybridMultilevel"/>
    <w:tmpl w:val="146C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337E4"/>
    <w:multiLevelType w:val="hybridMultilevel"/>
    <w:tmpl w:val="4A66B000"/>
    <w:lvl w:ilvl="0" w:tplc="09B6D40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882375"/>
    <w:multiLevelType w:val="hybridMultilevel"/>
    <w:tmpl w:val="DA407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84703A3"/>
    <w:multiLevelType w:val="hybridMultilevel"/>
    <w:tmpl w:val="85E29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D97D5F"/>
    <w:multiLevelType w:val="hybridMultilevel"/>
    <w:tmpl w:val="F41ECF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30F61"/>
    <w:multiLevelType w:val="hybridMultilevel"/>
    <w:tmpl w:val="58A2C90C"/>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6215D"/>
    <w:multiLevelType w:val="hybridMultilevel"/>
    <w:tmpl w:val="27E281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D76AB"/>
    <w:multiLevelType w:val="hybridMultilevel"/>
    <w:tmpl w:val="A728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D26DE"/>
    <w:multiLevelType w:val="hybridMultilevel"/>
    <w:tmpl w:val="7C5EB49C"/>
    <w:lvl w:ilvl="0" w:tplc="2516458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9"/>
  </w:num>
  <w:num w:numId="3">
    <w:abstractNumId w:val="16"/>
  </w:num>
  <w:num w:numId="4">
    <w:abstractNumId w:val="33"/>
  </w:num>
  <w:num w:numId="5">
    <w:abstractNumId w:val="25"/>
  </w:num>
  <w:num w:numId="6">
    <w:abstractNumId w:val="41"/>
  </w:num>
  <w:num w:numId="7">
    <w:abstractNumId w:val="44"/>
  </w:num>
  <w:num w:numId="8">
    <w:abstractNumId w:val="9"/>
  </w:num>
  <w:num w:numId="9">
    <w:abstractNumId w:val="27"/>
  </w:num>
  <w:num w:numId="10">
    <w:abstractNumId w:val="1"/>
  </w:num>
  <w:num w:numId="11">
    <w:abstractNumId w:val="17"/>
  </w:num>
  <w:num w:numId="12">
    <w:abstractNumId w:val="26"/>
  </w:num>
  <w:num w:numId="13">
    <w:abstractNumId w:val="5"/>
  </w:num>
  <w:num w:numId="14">
    <w:abstractNumId w:val="43"/>
  </w:num>
  <w:num w:numId="15">
    <w:abstractNumId w:val="18"/>
  </w:num>
  <w:num w:numId="16">
    <w:abstractNumId w:val="14"/>
  </w:num>
  <w:num w:numId="17">
    <w:abstractNumId w:val="36"/>
  </w:num>
  <w:num w:numId="18">
    <w:abstractNumId w:val="38"/>
  </w:num>
  <w:num w:numId="19">
    <w:abstractNumId w:val="35"/>
  </w:num>
  <w:num w:numId="20">
    <w:abstractNumId w:val="15"/>
  </w:num>
  <w:num w:numId="21">
    <w:abstractNumId w:val="4"/>
  </w:num>
  <w:num w:numId="22">
    <w:abstractNumId w:val="12"/>
  </w:num>
  <w:num w:numId="23">
    <w:abstractNumId w:val="24"/>
  </w:num>
  <w:num w:numId="24">
    <w:abstractNumId w:val="40"/>
  </w:num>
  <w:num w:numId="25">
    <w:abstractNumId w:val="22"/>
  </w:num>
  <w:num w:numId="26">
    <w:abstractNumId w:val="42"/>
  </w:num>
  <w:num w:numId="27">
    <w:abstractNumId w:val="21"/>
  </w:num>
  <w:num w:numId="28">
    <w:abstractNumId w:val="28"/>
  </w:num>
  <w:num w:numId="29">
    <w:abstractNumId w:val="32"/>
  </w:num>
  <w:num w:numId="30">
    <w:abstractNumId w:val="31"/>
  </w:num>
  <w:num w:numId="31">
    <w:abstractNumId w:val="11"/>
  </w:num>
  <w:num w:numId="32">
    <w:abstractNumId w:val="2"/>
  </w:num>
  <w:num w:numId="33">
    <w:abstractNumId w:val="0"/>
  </w:num>
  <w:num w:numId="34">
    <w:abstractNumId w:val="20"/>
  </w:num>
  <w:num w:numId="35">
    <w:abstractNumId w:val="6"/>
  </w:num>
  <w:num w:numId="36">
    <w:abstractNumId w:val="13"/>
  </w:num>
  <w:num w:numId="37">
    <w:abstractNumId w:val="23"/>
  </w:num>
  <w:num w:numId="38">
    <w:abstractNumId w:val="39"/>
  </w:num>
  <w:num w:numId="39">
    <w:abstractNumId w:val="7"/>
  </w:num>
  <w:num w:numId="40">
    <w:abstractNumId w:val="30"/>
  </w:num>
  <w:num w:numId="41">
    <w:abstractNumId w:val="8"/>
  </w:num>
  <w:num w:numId="42">
    <w:abstractNumId w:val="3"/>
  </w:num>
  <w:num w:numId="43">
    <w:abstractNumId w:val="29"/>
  </w:num>
  <w:num w:numId="44">
    <w:abstractNumId w:val="10"/>
  </w:num>
  <w:num w:numId="45">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JNZSA1hnJKnMGER8FxtlGC8ZmnSRDxu98FNuie+7NnbtouDDRxTPFSC53hzu6+lo"/>
  </w:docVars>
  <w:rsids>
    <w:rsidRoot w:val="004E3406"/>
    <w:rsid w:val="00000A3C"/>
    <w:rsid w:val="00006703"/>
    <w:rsid w:val="0000696F"/>
    <w:rsid w:val="00010603"/>
    <w:rsid w:val="00013618"/>
    <w:rsid w:val="00016823"/>
    <w:rsid w:val="00025C60"/>
    <w:rsid w:val="0003197B"/>
    <w:rsid w:val="0003365B"/>
    <w:rsid w:val="000410C4"/>
    <w:rsid w:val="00043D0A"/>
    <w:rsid w:val="0004749A"/>
    <w:rsid w:val="00051A59"/>
    <w:rsid w:val="00057512"/>
    <w:rsid w:val="00067D11"/>
    <w:rsid w:val="00077A99"/>
    <w:rsid w:val="00092F41"/>
    <w:rsid w:val="00096005"/>
    <w:rsid w:val="000A5DAF"/>
    <w:rsid w:val="000C7DCC"/>
    <w:rsid w:val="000D35E0"/>
    <w:rsid w:val="000D4D26"/>
    <w:rsid w:val="000E0629"/>
    <w:rsid w:val="000E64A2"/>
    <w:rsid w:val="000E72A2"/>
    <w:rsid w:val="000F7FCD"/>
    <w:rsid w:val="0010326B"/>
    <w:rsid w:val="00111036"/>
    <w:rsid w:val="00115026"/>
    <w:rsid w:val="001241ED"/>
    <w:rsid w:val="00126579"/>
    <w:rsid w:val="00133D3C"/>
    <w:rsid w:val="001348E0"/>
    <w:rsid w:val="0014160E"/>
    <w:rsid w:val="00151F8F"/>
    <w:rsid w:val="00152EE5"/>
    <w:rsid w:val="001544A5"/>
    <w:rsid w:val="00165386"/>
    <w:rsid w:val="00166751"/>
    <w:rsid w:val="0017273D"/>
    <w:rsid w:val="00172F90"/>
    <w:rsid w:val="001739FE"/>
    <w:rsid w:val="00177D2F"/>
    <w:rsid w:val="00180CD9"/>
    <w:rsid w:val="00180D29"/>
    <w:rsid w:val="00194034"/>
    <w:rsid w:val="00195B91"/>
    <w:rsid w:val="00197A82"/>
    <w:rsid w:val="00197C90"/>
    <w:rsid w:val="001A57AE"/>
    <w:rsid w:val="001B18AB"/>
    <w:rsid w:val="001B358C"/>
    <w:rsid w:val="001B6270"/>
    <w:rsid w:val="001C1DC0"/>
    <w:rsid w:val="001C1F21"/>
    <w:rsid w:val="001C6092"/>
    <w:rsid w:val="001C6C42"/>
    <w:rsid w:val="001D1A65"/>
    <w:rsid w:val="001D5245"/>
    <w:rsid w:val="001D7F08"/>
    <w:rsid w:val="001E11E6"/>
    <w:rsid w:val="001E3F8D"/>
    <w:rsid w:val="001E694C"/>
    <w:rsid w:val="001E7640"/>
    <w:rsid w:val="001E7F68"/>
    <w:rsid w:val="001F4D54"/>
    <w:rsid w:val="001F5207"/>
    <w:rsid w:val="001F56A8"/>
    <w:rsid w:val="001F6597"/>
    <w:rsid w:val="00200B8B"/>
    <w:rsid w:val="00202F8F"/>
    <w:rsid w:val="002035DE"/>
    <w:rsid w:val="002057F8"/>
    <w:rsid w:val="002065C1"/>
    <w:rsid w:val="00206697"/>
    <w:rsid w:val="00213A77"/>
    <w:rsid w:val="002220F6"/>
    <w:rsid w:val="00224F6E"/>
    <w:rsid w:val="00225B2C"/>
    <w:rsid w:val="00232005"/>
    <w:rsid w:val="0023219D"/>
    <w:rsid w:val="002379C6"/>
    <w:rsid w:val="0024155F"/>
    <w:rsid w:val="00243D0F"/>
    <w:rsid w:val="00253EF7"/>
    <w:rsid w:val="00261F22"/>
    <w:rsid w:val="00264B39"/>
    <w:rsid w:val="00264C32"/>
    <w:rsid w:val="00265697"/>
    <w:rsid w:val="00270AE3"/>
    <w:rsid w:val="00273BEE"/>
    <w:rsid w:val="00285F0A"/>
    <w:rsid w:val="002871AB"/>
    <w:rsid w:val="00295C97"/>
    <w:rsid w:val="00297614"/>
    <w:rsid w:val="002B229D"/>
    <w:rsid w:val="002B2FAD"/>
    <w:rsid w:val="002C1F44"/>
    <w:rsid w:val="002C392E"/>
    <w:rsid w:val="002C60EA"/>
    <w:rsid w:val="002D3FDF"/>
    <w:rsid w:val="002D4D12"/>
    <w:rsid w:val="002E2396"/>
    <w:rsid w:val="002E4F15"/>
    <w:rsid w:val="002E5C95"/>
    <w:rsid w:val="002F2735"/>
    <w:rsid w:val="002F29E5"/>
    <w:rsid w:val="002F2D78"/>
    <w:rsid w:val="002F3A0A"/>
    <w:rsid w:val="003024CF"/>
    <w:rsid w:val="00321D9F"/>
    <w:rsid w:val="003279CF"/>
    <w:rsid w:val="00330BC1"/>
    <w:rsid w:val="00331871"/>
    <w:rsid w:val="00331932"/>
    <w:rsid w:val="00334721"/>
    <w:rsid w:val="0034074A"/>
    <w:rsid w:val="003419B5"/>
    <w:rsid w:val="00342FE0"/>
    <w:rsid w:val="0034376A"/>
    <w:rsid w:val="0034731B"/>
    <w:rsid w:val="00347C33"/>
    <w:rsid w:val="0035068A"/>
    <w:rsid w:val="00356A98"/>
    <w:rsid w:val="00361113"/>
    <w:rsid w:val="00366842"/>
    <w:rsid w:val="00370374"/>
    <w:rsid w:val="00375767"/>
    <w:rsid w:val="00381709"/>
    <w:rsid w:val="003835A8"/>
    <w:rsid w:val="00384FFA"/>
    <w:rsid w:val="00394DC2"/>
    <w:rsid w:val="00396866"/>
    <w:rsid w:val="003B1C4F"/>
    <w:rsid w:val="003B3B57"/>
    <w:rsid w:val="003B4268"/>
    <w:rsid w:val="003B490C"/>
    <w:rsid w:val="003B4FD7"/>
    <w:rsid w:val="003B706E"/>
    <w:rsid w:val="003C1BCA"/>
    <w:rsid w:val="003C3634"/>
    <w:rsid w:val="003C57EE"/>
    <w:rsid w:val="003C7069"/>
    <w:rsid w:val="003D26F1"/>
    <w:rsid w:val="003D47F0"/>
    <w:rsid w:val="003E49E4"/>
    <w:rsid w:val="003E544D"/>
    <w:rsid w:val="003E58C0"/>
    <w:rsid w:val="003F0C82"/>
    <w:rsid w:val="003F53A2"/>
    <w:rsid w:val="003F7F24"/>
    <w:rsid w:val="00400D42"/>
    <w:rsid w:val="00404F8C"/>
    <w:rsid w:val="0040666C"/>
    <w:rsid w:val="00406792"/>
    <w:rsid w:val="00407CAC"/>
    <w:rsid w:val="00411D19"/>
    <w:rsid w:val="00415445"/>
    <w:rsid w:val="00415F23"/>
    <w:rsid w:val="00416A44"/>
    <w:rsid w:val="004317AA"/>
    <w:rsid w:val="00431D5D"/>
    <w:rsid w:val="00441B04"/>
    <w:rsid w:val="00443A0B"/>
    <w:rsid w:val="00450022"/>
    <w:rsid w:val="00452A3E"/>
    <w:rsid w:val="00460F12"/>
    <w:rsid w:val="0046371C"/>
    <w:rsid w:val="0046502A"/>
    <w:rsid w:val="00470AFE"/>
    <w:rsid w:val="004958E2"/>
    <w:rsid w:val="004B017C"/>
    <w:rsid w:val="004B5942"/>
    <w:rsid w:val="004B7B53"/>
    <w:rsid w:val="004C7644"/>
    <w:rsid w:val="004D1349"/>
    <w:rsid w:val="004D48B0"/>
    <w:rsid w:val="004E2AD1"/>
    <w:rsid w:val="004E3406"/>
    <w:rsid w:val="004E4E1C"/>
    <w:rsid w:val="004E6E92"/>
    <w:rsid w:val="004E750B"/>
    <w:rsid w:val="004F7ECA"/>
    <w:rsid w:val="00502A1D"/>
    <w:rsid w:val="00513C06"/>
    <w:rsid w:val="0051590E"/>
    <w:rsid w:val="005176EB"/>
    <w:rsid w:val="00523105"/>
    <w:rsid w:val="00523C3B"/>
    <w:rsid w:val="00527403"/>
    <w:rsid w:val="00540BF7"/>
    <w:rsid w:val="00542AED"/>
    <w:rsid w:val="00547495"/>
    <w:rsid w:val="0055155F"/>
    <w:rsid w:val="00551FF5"/>
    <w:rsid w:val="00552ED5"/>
    <w:rsid w:val="0055368F"/>
    <w:rsid w:val="00560981"/>
    <w:rsid w:val="00570A03"/>
    <w:rsid w:val="00574FAD"/>
    <w:rsid w:val="00576411"/>
    <w:rsid w:val="00592026"/>
    <w:rsid w:val="005A34A6"/>
    <w:rsid w:val="005B64EB"/>
    <w:rsid w:val="005C073D"/>
    <w:rsid w:val="005C525F"/>
    <w:rsid w:val="005D1673"/>
    <w:rsid w:val="005D2E62"/>
    <w:rsid w:val="005F134B"/>
    <w:rsid w:val="005F1E76"/>
    <w:rsid w:val="005F4F96"/>
    <w:rsid w:val="0060598D"/>
    <w:rsid w:val="006129C5"/>
    <w:rsid w:val="00621CB0"/>
    <w:rsid w:val="00625B27"/>
    <w:rsid w:val="00630540"/>
    <w:rsid w:val="00634273"/>
    <w:rsid w:val="006346F8"/>
    <w:rsid w:val="00640E39"/>
    <w:rsid w:val="00643799"/>
    <w:rsid w:val="0064491A"/>
    <w:rsid w:val="00646FF1"/>
    <w:rsid w:val="00653E9B"/>
    <w:rsid w:val="00656DAD"/>
    <w:rsid w:val="00657C25"/>
    <w:rsid w:val="006643F2"/>
    <w:rsid w:val="00666589"/>
    <w:rsid w:val="00666B14"/>
    <w:rsid w:val="00673575"/>
    <w:rsid w:val="00674785"/>
    <w:rsid w:val="006769B4"/>
    <w:rsid w:val="006935C1"/>
    <w:rsid w:val="00693CFD"/>
    <w:rsid w:val="0069648A"/>
    <w:rsid w:val="006C114A"/>
    <w:rsid w:val="006C47DE"/>
    <w:rsid w:val="006D6E5A"/>
    <w:rsid w:val="006E1DBE"/>
    <w:rsid w:val="006E584D"/>
    <w:rsid w:val="006F719F"/>
    <w:rsid w:val="00712915"/>
    <w:rsid w:val="00712BDD"/>
    <w:rsid w:val="00713CBE"/>
    <w:rsid w:val="00722604"/>
    <w:rsid w:val="00727F4E"/>
    <w:rsid w:val="007329BB"/>
    <w:rsid w:val="00735254"/>
    <w:rsid w:val="00740C9F"/>
    <w:rsid w:val="00741152"/>
    <w:rsid w:val="00741A64"/>
    <w:rsid w:val="007628BF"/>
    <w:rsid w:val="00763307"/>
    <w:rsid w:val="00776AFE"/>
    <w:rsid w:val="00783D9D"/>
    <w:rsid w:val="00786A66"/>
    <w:rsid w:val="00796732"/>
    <w:rsid w:val="007967D6"/>
    <w:rsid w:val="00796E3A"/>
    <w:rsid w:val="00797756"/>
    <w:rsid w:val="007A1E8C"/>
    <w:rsid w:val="007A5E3D"/>
    <w:rsid w:val="007C1894"/>
    <w:rsid w:val="007C4D03"/>
    <w:rsid w:val="007C4F44"/>
    <w:rsid w:val="007E330F"/>
    <w:rsid w:val="007E5202"/>
    <w:rsid w:val="007E611A"/>
    <w:rsid w:val="007E65FE"/>
    <w:rsid w:val="007E7C58"/>
    <w:rsid w:val="008012AB"/>
    <w:rsid w:val="00804ADE"/>
    <w:rsid w:val="008067D2"/>
    <w:rsid w:val="00810B0B"/>
    <w:rsid w:val="00816FBE"/>
    <w:rsid w:val="00821432"/>
    <w:rsid w:val="00825A92"/>
    <w:rsid w:val="00834694"/>
    <w:rsid w:val="008357C8"/>
    <w:rsid w:val="00837971"/>
    <w:rsid w:val="00840328"/>
    <w:rsid w:val="008408D1"/>
    <w:rsid w:val="0084191B"/>
    <w:rsid w:val="0084513A"/>
    <w:rsid w:val="0084561C"/>
    <w:rsid w:val="00857132"/>
    <w:rsid w:val="00863975"/>
    <w:rsid w:val="00867DF6"/>
    <w:rsid w:val="0087006E"/>
    <w:rsid w:val="008756D0"/>
    <w:rsid w:val="00877F1D"/>
    <w:rsid w:val="00884AA1"/>
    <w:rsid w:val="008850FD"/>
    <w:rsid w:val="00891EB6"/>
    <w:rsid w:val="00892FBD"/>
    <w:rsid w:val="0089428F"/>
    <w:rsid w:val="008A3CEE"/>
    <w:rsid w:val="008A42CC"/>
    <w:rsid w:val="008A7586"/>
    <w:rsid w:val="008B2FFE"/>
    <w:rsid w:val="008B4924"/>
    <w:rsid w:val="008B537F"/>
    <w:rsid w:val="008C2CC5"/>
    <w:rsid w:val="008C62CD"/>
    <w:rsid w:val="008D6739"/>
    <w:rsid w:val="008E4BCE"/>
    <w:rsid w:val="008F655E"/>
    <w:rsid w:val="009012B5"/>
    <w:rsid w:val="009107E5"/>
    <w:rsid w:val="00914BCD"/>
    <w:rsid w:val="009152D7"/>
    <w:rsid w:val="00920CC6"/>
    <w:rsid w:val="00923CD5"/>
    <w:rsid w:val="0093418B"/>
    <w:rsid w:val="00936635"/>
    <w:rsid w:val="0093664A"/>
    <w:rsid w:val="009367EE"/>
    <w:rsid w:val="00940593"/>
    <w:rsid w:val="0094209B"/>
    <w:rsid w:val="0094544D"/>
    <w:rsid w:val="00946963"/>
    <w:rsid w:val="009503E2"/>
    <w:rsid w:val="0095055F"/>
    <w:rsid w:val="00951C71"/>
    <w:rsid w:val="0095636B"/>
    <w:rsid w:val="009568BF"/>
    <w:rsid w:val="00957A42"/>
    <w:rsid w:val="00964E8F"/>
    <w:rsid w:val="00967342"/>
    <w:rsid w:val="00977E7C"/>
    <w:rsid w:val="00983DFA"/>
    <w:rsid w:val="00985E37"/>
    <w:rsid w:val="00986C1A"/>
    <w:rsid w:val="009871AE"/>
    <w:rsid w:val="009A1D20"/>
    <w:rsid w:val="009A22AD"/>
    <w:rsid w:val="009A497E"/>
    <w:rsid w:val="009B1E82"/>
    <w:rsid w:val="009D4DC0"/>
    <w:rsid w:val="009D4E50"/>
    <w:rsid w:val="009D781D"/>
    <w:rsid w:val="009E461D"/>
    <w:rsid w:val="00A03450"/>
    <w:rsid w:val="00A07D01"/>
    <w:rsid w:val="00A12E53"/>
    <w:rsid w:val="00A1317E"/>
    <w:rsid w:val="00A1574B"/>
    <w:rsid w:val="00A15D0C"/>
    <w:rsid w:val="00A252FA"/>
    <w:rsid w:val="00A318A3"/>
    <w:rsid w:val="00A32C42"/>
    <w:rsid w:val="00A33242"/>
    <w:rsid w:val="00A33746"/>
    <w:rsid w:val="00A350D5"/>
    <w:rsid w:val="00A53A2E"/>
    <w:rsid w:val="00A6013B"/>
    <w:rsid w:val="00A6300F"/>
    <w:rsid w:val="00A64A82"/>
    <w:rsid w:val="00A650E7"/>
    <w:rsid w:val="00A70F98"/>
    <w:rsid w:val="00A71F92"/>
    <w:rsid w:val="00A73C7B"/>
    <w:rsid w:val="00A818CE"/>
    <w:rsid w:val="00A81D06"/>
    <w:rsid w:val="00A82D26"/>
    <w:rsid w:val="00A862AB"/>
    <w:rsid w:val="00A862B2"/>
    <w:rsid w:val="00A87D4D"/>
    <w:rsid w:val="00A97FF0"/>
    <w:rsid w:val="00AA0903"/>
    <w:rsid w:val="00AB6329"/>
    <w:rsid w:val="00AD5897"/>
    <w:rsid w:val="00AF1C9B"/>
    <w:rsid w:val="00AF4137"/>
    <w:rsid w:val="00B130E2"/>
    <w:rsid w:val="00B13C90"/>
    <w:rsid w:val="00B14F8B"/>
    <w:rsid w:val="00B32B24"/>
    <w:rsid w:val="00B34337"/>
    <w:rsid w:val="00B47C9B"/>
    <w:rsid w:val="00B81798"/>
    <w:rsid w:val="00B86598"/>
    <w:rsid w:val="00BA4DB3"/>
    <w:rsid w:val="00BA5031"/>
    <w:rsid w:val="00BB19DF"/>
    <w:rsid w:val="00BB1DF5"/>
    <w:rsid w:val="00BB5E9E"/>
    <w:rsid w:val="00BC19B2"/>
    <w:rsid w:val="00BC3199"/>
    <w:rsid w:val="00BC536B"/>
    <w:rsid w:val="00BC54B5"/>
    <w:rsid w:val="00BD4CA1"/>
    <w:rsid w:val="00BE1A32"/>
    <w:rsid w:val="00BE408D"/>
    <w:rsid w:val="00BE4C12"/>
    <w:rsid w:val="00BE6232"/>
    <w:rsid w:val="00BF22CD"/>
    <w:rsid w:val="00C034A6"/>
    <w:rsid w:val="00C0354A"/>
    <w:rsid w:val="00C12416"/>
    <w:rsid w:val="00C254C3"/>
    <w:rsid w:val="00C43D8D"/>
    <w:rsid w:val="00C61EFB"/>
    <w:rsid w:val="00C6333B"/>
    <w:rsid w:val="00C7429C"/>
    <w:rsid w:val="00C77C2E"/>
    <w:rsid w:val="00C861A8"/>
    <w:rsid w:val="00C92B11"/>
    <w:rsid w:val="00C93293"/>
    <w:rsid w:val="00CB2891"/>
    <w:rsid w:val="00CB2BE8"/>
    <w:rsid w:val="00CB31C5"/>
    <w:rsid w:val="00CB6037"/>
    <w:rsid w:val="00CC1AD0"/>
    <w:rsid w:val="00CD3472"/>
    <w:rsid w:val="00CD7656"/>
    <w:rsid w:val="00CE54C8"/>
    <w:rsid w:val="00CF1039"/>
    <w:rsid w:val="00CF3659"/>
    <w:rsid w:val="00CF40E8"/>
    <w:rsid w:val="00CF59B5"/>
    <w:rsid w:val="00D02288"/>
    <w:rsid w:val="00D0527F"/>
    <w:rsid w:val="00D0766A"/>
    <w:rsid w:val="00D11573"/>
    <w:rsid w:val="00D12410"/>
    <w:rsid w:val="00D20736"/>
    <w:rsid w:val="00D41E21"/>
    <w:rsid w:val="00D47368"/>
    <w:rsid w:val="00D6233B"/>
    <w:rsid w:val="00D632A0"/>
    <w:rsid w:val="00D636B6"/>
    <w:rsid w:val="00D70889"/>
    <w:rsid w:val="00D70DD5"/>
    <w:rsid w:val="00D7217A"/>
    <w:rsid w:val="00D72B64"/>
    <w:rsid w:val="00D83380"/>
    <w:rsid w:val="00D838A3"/>
    <w:rsid w:val="00D85877"/>
    <w:rsid w:val="00D87632"/>
    <w:rsid w:val="00D919A7"/>
    <w:rsid w:val="00DA2537"/>
    <w:rsid w:val="00DB5A5F"/>
    <w:rsid w:val="00DC35F3"/>
    <w:rsid w:val="00DD5BC0"/>
    <w:rsid w:val="00DE1DC3"/>
    <w:rsid w:val="00DE2BDA"/>
    <w:rsid w:val="00DF2A98"/>
    <w:rsid w:val="00DF3685"/>
    <w:rsid w:val="00DF74E6"/>
    <w:rsid w:val="00E02671"/>
    <w:rsid w:val="00E04FF6"/>
    <w:rsid w:val="00E11FE3"/>
    <w:rsid w:val="00E150C9"/>
    <w:rsid w:val="00E23CCB"/>
    <w:rsid w:val="00E25ECA"/>
    <w:rsid w:val="00E34DFB"/>
    <w:rsid w:val="00E4216E"/>
    <w:rsid w:val="00E507BB"/>
    <w:rsid w:val="00E51536"/>
    <w:rsid w:val="00E52A60"/>
    <w:rsid w:val="00E64918"/>
    <w:rsid w:val="00E66942"/>
    <w:rsid w:val="00E715D5"/>
    <w:rsid w:val="00E71E22"/>
    <w:rsid w:val="00E75E6F"/>
    <w:rsid w:val="00E7634E"/>
    <w:rsid w:val="00E82CC1"/>
    <w:rsid w:val="00E8534C"/>
    <w:rsid w:val="00E96D17"/>
    <w:rsid w:val="00E9772B"/>
    <w:rsid w:val="00EA4529"/>
    <w:rsid w:val="00EC40D6"/>
    <w:rsid w:val="00EC4583"/>
    <w:rsid w:val="00EC5D37"/>
    <w:rsid w:val="00EF0A6E"/>
    <w:rsid w:val="00EF3487"/>
    <w:rsid w:val="00F05865"/>
    <w:rsid w:val="00F27672"/>
    <w:rsid w:val="00F3170E"/>
    <w:rsid w:val="00F36262"/>
    <w:rsid w:val="00F36ADD"/>
    <w:rsid w:val="00F40128"/>
    <w:rsid w:val="00F4120A"/>
    <w:rsid w:val="00F42B51"/>
    <w:rsid w:val="00F63E4C"/>
    <w:rsid w:val="00F73F2A"/>
    <w:rsid w:val="00F74188"/>
    <w:rsid w:val="00F75997"/>
    <w:rsid w:val="00F807F8"/>
    <w:rsid w:val="00F959BC"/>
    <w:rsid w:val="00FA2984"/>
    <w:rsid w:val="00FA3176"/>
    <w:rsid w:val="00FB1366"/>
    <w:rsid w:val="00FB2CF6"/>
    <w:rsid w:val="00FB2CFB"/>
    <w:rsid w:val="00FB3571"/>
    <w:rsid w:val="00FB4E0B"/>
    <w:rsid w:val="00FC0A72"/>
    <w:rsid w:val="00FC10ED"/>
    <w:rsid w:val="00FC3A23"/>
    <w:rsid w:val="00FC6B80"/>
    <w:rsid w:val="00FD166E"/>
    <w:rsid w:val="00FD1EF6"/>
    <w:rsid w:val="00FE165C"/>
    <w:rsid w:val="00FE426D"/>
    <w:rsid w:val="00FF3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B0BF5CC"/>
  <w15:chartTrackingRefBased/>
  <w15:docId w15:val="{44BF037F-BAE4-4A91-8E0C-FEB2F38C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9B"/>
    <w:rPr>
      <w:rFonts w:ascii="Arial" w:hAnsi="Arial"/>
      <w:sz w:val="22"/>
    </w:rPr>
  </w:style>
  <w:style w:type="paragraph" w:styleId="Heading1">
    <w:name w:val="heading 1"/>
    <w:basedOn w:val="Normal"/>
    <w:next w:val="Normal"/>
    <w:qFormat/>
    <w:rsid w:val="00AF1C9B"/>
    <w:pPr>
      <w:keepNext/>
      <w:jc w:val="center"/>
      <w:outlineLvl w:val="0"/>
    </w:pPr>
    <w:rPr>
      <w:rFonts w:cs="Arial"/>
      <w:b/>
      <w:bCs/>
      <w:sz w:val="28"/>
      <w:szCs w:val="22"/>
      <w:lang w:eastAsia="en-US"/>
    </w:rPr>
  </w:style>
  <w:style w:type="paragraph" w:styleId="Heading2">
    <w:name w:val="heading 2"/>
    <w:basedOn w:val="Normal"/>
    <w:next w:val="Normal"/>
    <w:qFormat/>
    <w:rsid w:val="00AF1C9B"/>
    <w:pPr>
      <w:keepNext/>
      <w:outlineLvl w:val="1"/>
    </w:pPr>
    <w:rPr>
      <w:rFonts w:cs="Arial"/>
      <w:b/>
      <w:bCs/>
      <w:sz w:val="24"/>
      <w:szCs w:val="22"/>
      <w:lang w:eastAsia="en-US"/>
    </w:rPr>
  </w:style>
  <w:style w:type="paragraph" w:styleId="Heading3">
    <w:name w:val="heading 3"/>
    <w:basedOn w:val="Normal"/>
    <w:next w:val="Normal"/>
    <w:qFormat/>
    <w:rsid w:val="00AF1C9B"/>
    <w:pPr>
      <w:keepNext/>
      <w:jc w:val="both"/>
      <w:outlineLvl w:val="2"/>
    </w:pPr>
    <w:rPr>
      <w:rFonts w:cs="Arial"/>
      <w:szCs w:val="22"/>
      <w:u w:val="single"/>
      <w:lang w:eastAsia="en-US"/>
    </w:rPr>
  </w:style>
  <w:style w:type="paragraph" w:styleId="Heading4">
    <w:name w:val="heading 4"/>
    <w:basedOn w:val="Normal"/>
    <w:next w:val="Normal"/>
    <w:qFormat/>
    <w:rsid w:val="00AF1C9B"/>
    <w:pPr>
      <w:keepNext/>
      <w:jc w:val="both"/>
      <w:outlineLvl w:val="3"/>
    </w:pPr>
    <w:rPr>
      <w:rFonts w:cs="Arial"/>
      <w:b/>
      <w:bCs/>
      <w:szCs w:val="22"/>
      <w:lang w:eastAsia="en-US"/>
    </w:rPr>
  </w:style>
  <w:style w:type="paragraph" w:styleId="Heading5">
    <w:name w:val="heading 5"/>
    <w:basedOn w:val="Normal"/>
    <w:next w:val="Normal"/>
    <w:qFormat/>
    <w:rsid w:val="00AF1C9B"/>
    <w:pPr>
      <w:keepNext/>
      <w:jc w:val="center"/>
      <w:outlineLvl w:val="4"/>
    </w:pPr>
    <w:rPr>
      <w:rFonts w:cs="Arial"/>
      <w:b/>
      <w:bCs/>
      <w:sz w:val="24"/>
      <w:szCs w:val="22"/>
      <w:lang w:eastAsia="en-US"/>
    </w:rPr>
  </w:style>
  <w:style w:type="paragraph" w:styleId="Heading6">
    <w:name w:val="heading 6"/>
    <w:basedOn w:val="Normal"/>
    <w:next w:val="Normal"/>
    <w:qFormat/>
    <w:rsid w:val="00AF1C9B"/>
    <w:pPr>
      <w:keepNext/>
      <w:outlineLvl w:val="5"/>
    </w:pPr>
    <w:rPr>
      <w:rFonts w:cs="Arial"/>
      <w:b/>
      <w:bCs/>
      <w:szCs w:val="22"/>
      <w:lang w:eastAsia="en-US"/>
    </w:rPr>
  </w:style>
  <w:style w:type="paragraph" w:styleId="Heading7">
    <w:name w:val="heading 7"/>
    <w:basedOn w:val="Normal"/>
    <w:next w:val="Normal"/>
    <w:qFormat/>
    <w:rsid w:val="00AF1C9B"/>
    <w:pPr>
      <w:keepNext/>
      <w:jc w:val="center"/>
      <w:outlineLvl w:val="6"/>
    </w:pPr>
    <w:rPr>
      <w:rFonts w:cs="Arial"/>
      <w:b/>
      <w:bCs/>
      <w:sz w:val="28"/>
      <w:szCs w:val="22"/>
      <w:u w:val="single"/>
      <w:lang w:eastAsia="en-US"/>
    </w:rPr>
  </w:style>
  <w:style w:type="paragraph" w:styleId="Heading8">
    <w:name w:val="heading 8"/>
    <w:basedOn w:val="Normal"/>
    <w:next w:val="Normal"/>
    <w:qFormat/>
    <w:rsid w:val="00AF1C9B"/>
    <w:pPr>
      <w:keepNext/>
      <w:jc w:val="right"/>
      <w:outlineLvl w:val="7"/>
    </w:pPr>
    <w:rPr>
      <w:rFonts w:ascii="Tahoma" w:hAnsi="Tahoma" w:cs="Tahoma"/>
      <w:b/>
      <w:bCs/>
      <w:sz w:val="24"/>
      <w:szCs w:val="22"/>
      <w:lang w:eastAsia="en-US"/>
    </w:rPr>
  </w:style>
  <w:style w:type="paragraph" w:styleId="Heading9">
    <w:name w:val="heading 9"/>
    <w:basedOn w:val="Normal"/>
    <w:next w:val="Normal"/>
    <w:qFormat/>
    <w:rsid w:val="00AF1C9B"/>
    <w:pPr>
      <w:keepNext/>
      <w:jc w:val="center"/>
      <w:outlineLvl w:val="8"/>
    </w:pPr>
    <w:rPr>
      <w:rFonts w:cs="Arial"/>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4E3406"/>
  </w:style>
  <w:style w:type="paragraph" w:customStyle="1" w:styleId="Style2">
    <w:name w:val="Style2"/>
    <w:basedOn w:val="Normal"/>
    <w:rsid w:val="004E3406"/>
  </w:style>
  <w:style w:type="paragraph" w:customStyle="1" w:styleId="Style3">
    <w:name w:val="Style3"/>
    <w:basedOn w:val="Normal"/>
    <w:rsid w:val="00540BF7"/>
  </w:style>
  <w:style w:type="paragraph" w:styleId="Header">
    <w:name w:val="header"/>
    <w:basedOn w:val="Normal"/>
    <w:link w:val="HeaderChar"/>
    <w:rsid w:val="00AF1C9B"/>
    <w:pPr>
      <w:tabs>
        <w:tab w:val="center" w:pos="4153"/>
        <w:tab w:val="right" w:pos="8306"/>
      </w:tabs>
    </w:pPr>
  </w:style>
  <w:style w:type="paragraph" w:styleId="Footer">
    <w:name w:val="footer"/>
    <w:basedOn w:val="Normal"/>
    <w:link w:val="FooterChar"/>
    <w:uiPriority w:val="99"/>
    <w:rsid w:val="00AF1C9B"/>
    <w:pPr>
      <w:tabs>
        <w:tab w:val="center" w:pos="4153"/>
        <w:tab w:val="right" w:pos="8306"/>
      </w:tabs>
    </w:pPr>
  </w:style>
  <w:style w:type="paragraph" w:customStyle="1" w:styleId="N1">
    <w:name w:val="N1"/>
    <w:basedOn w:val="Normal"/>
    <w:next w:val="N2"/>
    <w:rsid w:val="00AF1C9B"/>
    <w:pPr>
      <w:numPr>
        <w:numId w:val="1"/>
      </w:numPr>
      <w:spacing w:before="160" w:line="220" w:lineRule="atLeast"/>
      <w:jc w:val="both"/>
    </w:pPr>
    <w:rPr>
      <w:rFonts w:ascii="Times New Roman" w:hAnsi="Times New Roman"/>
      <w:sz w:val="21"/>
      <w:lang w:eastAsia="en-US"/>
    </w:rPr>
  </w:style>
  <w:style w:type="paragraph" w:customStyle="1" w:styleId="N2">
    <w:name w:val="N2"/>
    <w:basedOn w:val="N1"/>
    <w:rsid w:val="00AF1C9B"/>
    <w:pPr>
      <w:numPr>
        <w:ilvl w:val="1"/>
      </w:numPr>
      <w:tabs>
        <w:tab w:val="num" w:pos="360"/>
      </w:tabs>
      <w:spacing w:before="80"/>
    </w:pPr>
  </w:style>
  <w:style w:type="paragraph" w:customStyle="1" w:styleId="N3">
    <w:name w:val="N3"/>
    <w:basedOn w:val="N2"/>
    <w:rsid w:val="00AF1C9B"/>
    <w:pPr>
      <w:numPr>
        <w:ilvl w:val="2"/>
      </w:numPr>
      <w:tabs>
        <w:tab w:val="clear" w:pos="737"/>
        <w:tab w:val="num" w:pos="360"/>
      </w:tabs>
    </w:pPr>
  </w:style>
  <w:style w:type="paragraph" w:customStyle="1" w:styleId="N4">
    <w:name w:val="N4"/>
    <w:basedOn w:val="N3"/>
    <w:rsid w:val="00AF1C9B"/>
    <w:pPr>
      <w:numPr>
        <w:ilvl w:val="3"/>
      </w:numPr>
      <w:tabs>
        <w:tab w:val="clear" w:pos="1134"/>
        <w:tab w:val="num" w:pos="360"/>
      </w:tabs>
    </w:pPr>
  </w:style>
  <w:style w:type="paragraph" w:customStyle="1" w:styleId="N5">
    <w:name w:val="N5"/>
    <w:basedOn w:val="N4"/>
    <w:rsid w:val="00AF1C9B"/>
    <w:pPr>
      <w:numPr>
        <w:ilvl w:val="4"/>
      </w:numPr>
      <w:tabs>
        <w:tab w:val="clear" w:pos="1701"/>
        <w:tab w:val="num" w:pos="360"/>
      </w:tabs>
    </w:pPr>
  </w:style>
  <w:style w:type="character" w:styleId="FootnoteReference">
    <w:name w:val="footnote reference"/>
    <w:semiHidden/>
    <w:rsid w:val="00AF1C9B"/>
    <w:rPr>
      <w:rFonts w:ascii="Times New Roman" w:hAnsi="Times New Roman"/>
      <w:b/>
      <w:vertAlign w:val="baseline"/>
    </w:rPr>
  </w:style>
  <w:style w:type="paragraph" w:customStyle="1" w:styleId="T1">
    <w:name w:val="T1"/>
    <w:basedOn w:val="Normal"/>
    <w:rsid w:val="00AF1C9B"/>
    <w:pPr>
      <w:spacing w:before="160" w:line="220" w:lineRule="atLeast"/>
      <w:jc w:val="both"/>
    </w:pPr>
    <w:rPr>
      <w:rFonts w:ascii="Times New Roman" w:hAnsi="Times New Roman"/>
      <w:sz w:val="21"/>
      <w:lang w:eastAsia="en-US"/>
    </w:rPr>
  </w:style>
  <w:style w:type="character" w:styleId="Hyperlink">
    <w:name w:val="Hyperlink"/>
    <w:rsid w:val="00AF1C9B"/>
    <w:rPr>
      <w:color w:val="0000FF"/>
      <w:u w:val="single"/>
    </w:rPr>
  </w:style>
  <w:style w:type="paragraph" w:styleId="BodyText3">
    <w:name w:val="Body Text 3"/>
    <w:basedOn w:val="Normal"/>
    <w:rsid w:val="00AF1C9B"/>
    <w:pPr>
      <w:jc w:val="both"/>
    </w:pPr>
    <w:rPr>
      <w:rFonts w:cs="Arial"/>
      <w:sz w:val="24"/>
      <w:szCs w:val="22"/>
      <w:lang w:eastAsia="en-US"/>
    </w:rPr>
  </w:style>
  <w:style w:type="paragraph" w:customStyle="1" w:styleId="H1">
    <w:name w:val="H1"/>
    <w:basedOn w:val="Normal"/>
    <w:next w:val="N1"/>
    <w:rsid w:val="00AF1C9B"/>
    <w:pPr>
      <w:keepNext/>
      <w:spacing w:before="320" w:line="220" w:lineRule="atLeast"/>
      <w:jc w:val="both"/>
    </w:pPr>
    <w:rPr>
      <w:rFonts w:ascii="Times New Roman" w:hAnsi="Times New Roman"/>
      <w:b/>
      <w:sz w:val="21"/>
      <w:lang w:eastAsia="en-US"/>
    </w:rPr>
  </w:style>
  <w:style w:type="paragraph" w:styleId="BodyText">
    <w:name w:val="Body Text"/>
    <w:basedOn w:val="Normal"/>
    <w:link w:val="BodyTextChar"/>
    <w:rsid w:val="00AF1C9B"/>
    <w:pPr>
      <w:tabs>
        <w:tab w:val="left" w:pos="1980"/>
      </w:tabs>
    </w:pPr>
    <w:rPr>
      <w:rFonts w:ascii="Tahoma" w:hAnsi="Tahoma" w:cs="Tahoma"/>
      <w:color w:val="000000"/>
      <w:sz w:val="24"/>
      <w:szCs w:val="19"/>
      <w:lang w:val="en" w:eastAsia="en-US"/>
    </w:rPr>
  </w:style>
  <w:style w:type="character" w:styleId="PageNumber">
    <w:name w:val="page number"/>
    <w:basedOn w:val="DefaultParagraphFont"/>
    <w:rsid w:val="00AF1C9B"/>
  </w:style>
  <w:style w:type="paragraph" w:styleId="NormalWeb">
    <w:name w:val="Normal (Web)"/>
    <w:basedOn w:val="Normal"/>
    <w:uiPriority w:val="99"/>
    <w:rsid w:val="00AF1C9B"/>
    <w:pPr>
      <w:spacing w:before="100" w:beforeAutospacing="1" w:after="100" w:afterAutospacing="1"/>
    </w:pPr>
    <w:rPr>
      <w:rFonts w:ascii="Arial Unicode MS" w:eastAsia="Arial Unicode MS" w:hAnsi="Arial Unicode MS" w:cs="Arial Unicode MS"/>
      <w:color w:val="000000"/>
      <w:sz w:val="24"/>
      <w:szCs w:val="22"/>
      <w:lang w:eastAsia="en-US"/>
    </w:rPr>
  </w:style>
  <w:style w:type="character" w:customStyle="1" w:styleId="margin5top1">
    <w:name w:val="margin5top1"/>
    <w:rsid w:val="00AF1C9B"/>
  </w:style>
  <w:style w:type="paragraph" w:styleId="BodyText2">
    <w:name w:val="Body Text 2"/>
    <w:basedOn w:val="Normal"/>
    <w:rsid w:val="00AF1C9B"/>
    <w:pPr>
      <w:jc w:val="both"/>
    </w:pPr>
    <w:rPr>
      <w:rFonts w:ascii="Tahoma" w:hAnsi="Tahoma" w:cs="Tahoma"/>
      <w:color w:val="FF00FF"/>
      <w:sz w:val="24"/>
      <w:szCs w:val="22"/>
      <w:lang w:eastAsia="en-US"/>
    </w:rPr>
  </w:style>
  <w:style w:type="table" w:styleId="TableGrid">
    <w:name w:val="Table Grid"/>
    <w:basedOn w:val="TableNormal"/>
    <w:uiPriority w:val="59"/>
    <w:rsid w:val="00AF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1C9B"/>
    <w:rPr>
      <w:rFonts w:ascii="Tahoma" w:hAnsi="Tahoma"/>
      <w:sz w:val="16"/>
      <w:szCs w:val="16"/>
    </w:rPr>
  </w:style>
  <w:style w:type="character" w:styleId="CommentReference">
    <w:name w:val="annotation reference"/>
    <w:uiPriority w:val="99"/>
    <w:semiHidden/>
    <w:unhideWhenUsed/>
    <w:rsid w:val="00BC3199"/>
    <w:rPr>
      <w:sz w:val="16"/>
      <w:szCs w:val="16"/>
    </w:rPr>
  </w:style>
  <w:style w:type="paragraph" w:styleId="CommentText">
    <w:name w:val="annotation text"/>
    <w:basedOn w:val="Normal"/>
    <w:link w:val="CommentTextChar"/>
    <w:uiPriority w:val="99"/>
    <w:semiHidden/>
    <w:unhideWhenUsed/>
    <w:rsid w:val="00BC3199"/>
    <w:rPr>
      <w:sz w:val="20"/>
    </w:rPr>
  </w:style>
  <w:style w:type="character" w:customStyle="1" w:styleId="CommentTextChar">
    <w:name w:val="Comment Text Char"/>
    <w:link w:val="CommentText"/>
    <w:uiPriority w:val="99"/>
    <w:semiHidden/>
    <w:rsid w:val="00BC3199"/>
    <w:rPr>
      <w:rFonts w:ascii="Arial" w:hAnsi="Arial"/>
    </w:rPr>
  </w:style>
  <w:style w:type="paragraph" w:styleId="CommentSubject">
    <w:name w:val="annotation subject"/>
    <w:basedOn w:val="CommentText"/>
    <w:next w:val="CommentText"/>
    <w:link w:val="CommentSubjectChar"/>
    <w:uiPriority w:val="99"/>
    <w:semiHidden/>
    <w:unhideWhenUsed/>
    <w:rsid w:val="00BC3199"/>
    <w:rPr>
      <w:b/>
      <w:bCs/>
    </w:rPr>
  </w:style>
  <w:style w:type="character" w:customStyle="1" w:styleId="CommentSubjectChar">
    <w:name w:val="Comment Subject Char"/>
    <w:link w:val="CommentSubject"/>
    <w:uiPriority w:val="99"/>
    <w:semiHidden/>
    <w:rsid w:val="00BC3199"/>
    <w:rPr>
      <w:rFonts w:ascii="Arial" w:hAnsi="Arial"/>
      <w:b/>
      <w:bCs/>
    </w:rPr>
  </w:style>
  <w:style w:type="character" w:customStyle="1" w:styleId="BodyTextChar">
    <w:name w:val="Body Text Char"/>
    <w:link w:val="BodyText"/>
    <w:rsid w:val="009D4DC0"/>
    <w:rPr>
      <w:rFonts w:ascii="Tahoma" w:hAnsi="Tahoma" w:cs="Tahoma"/>
      <w:color w:val="000000"/>
      <w:sz w:val="24"/>
      <w:szCs w:val="19"/>
      <w:lang w:val="en" w:eastAsia="en-US"/>
    </w:rPr>
  </w:style>
  <w:style w:type="paragraph" w:customStyle="1" w:styleId="Default">
    <w:name w:val="Default"/>
    <w:rsid w:val="007E7C58"/>
    <w:pPr>
      <w:autoSpaceDE w:val="0"/>
      <w:autoSpaceDN w:val="0"/>
      <w:adjustRightInd w:val="0"/>
    </w:pPr>
    <w:rPr>
      <w:rFonts w:ascii="Arial" w:hAnsi="Arial" w:cs="Arial"/>
      <w:color w:val="000000"/>
      <w:sz w:val="24"/>
      <w:szCs w:val="24"/>
    </w:rPr>
  </w:style>
  <w:style w:type="character" w:styleId="Strong">
    <w:name w:val="Strong"/>
    <w:uiPriority w:val="22"/>
    <w:qFormat/>
    <w:rsid w:val="007E7C58"/>
    <w:rPr>
      <w:b/>
      <w:bCs/>
    </w:rPr>
  </w:style>
  <w:style w:type="character" w:styleId="FollowedHyperlink">
    <w:name w:val="FollowedHyperlink"/>
    <w:uiPriority w:val="99"/>
    <w:semiHidden/>
    <w:unhideWhenUsed/>
    <w:rsid w:val="00172F90"/>
    <w:rPr>
      <w:color w:val="800080"/>
      <w:u w:val="single"/>
    </w:rPr>
  </w:style>
  <w:style w:type="character" w:customStyle="1" w:styleId="FooterChar">
    <w:name w:val="Footer Char"/>
    <w:link w:val="Footer"/>
    <w:uiPriority w:val="99"/>
    <w:rsid w:val="00E96D17"/>
    <w:rPr>
      <w:rFonts w:ascii="Arial" w:hAnsi="Arial"/>
      <w:sz w:val="22"/>
    </w:rPr>
  </w:style>
  <w:style w:type="paragraph" w:styleId="ListParagraph">
    <w:name w:val="List Paragraph"/>
    <w:basedOn w:val="Normal"/>
    <w:uiPriority w:val="34"/>
    <w:qFormat/>
    <w:rsid w:val="00D70DD5"/>
    <w:pPr>
      <w:spacing w:after="200" w:line="276" w:lineRule="auto"/>
      <w:ind w:left="720"/>
      <w:contextualSpacing/>
    </w:pPr>
    <w:rPr>
      <w:rFonts w:eastAsia="Calibri" w:cs="Arial"/>
      <w:szCs w:val="22"/>
      <w:lang w:eastAsia="en-US"/>
    </w:rPr>
  </w:style>
  <w:style w:type="paragraph" w:customStyle="1" w:styleId="GBCReportBodyText">
    <w:name w:val="GBC Report Body Text"/>
    <w:basedOn w:val="Normal"/>
    <w:rsid w:val="009D781D"/>
    <w:pPr>
      <w:numPr>
        <w:ilvl w:val="1"/>
        <w:numId w:val="44"/>
      </w:numPr>
      <w:spacing w:after="240"/>
      <w:outlineLvl w:val="1"/>
    </w:pPr>
  </w:style>
  <w:style w:type="paragraph" w:customStyle="1" w:styleId="GBCReportBodyHeading">
    <w:name w:val="GBC Report Body Heading"/>
    <w:basedOn w:val="Normal"/>
    <w:next w:val="GBCReportBodyText"/>
    <w:rsid w:val="009D781D"/>
    <w:pPr>
      <w:keepNext/>
      <w:numPr>
        <w:numId w:val="44"/>
      </w:numPr>
      <w:spacing w:after="240"/>
      <w:outlineLvl w:val="0"/>
    </w:pPr>
    <w:rPr>
      <w:b/>
      <w:szCs w:val="22"/>
    </w:rPr>
  </w:style>
  <w:style w:type="character" w:customStyle="1" w:styleId="HeaderChar">
    <w:name w:val="Header Char"/>
    <w:basedOn w:val="DefaultParagraphFont"/>
    <w:link w:val="Header"/>
    <w:rsid w:val="00666589"/>
    <w:rPr>
      <w:rFonts w:ascii="Arial" w:hAnsi="Arial"/>
      <w:sz w:val="22"/>
    </w:rPr>
  </w:style>
  <w:style w:type="table" w:styleId="ListTable3-Accent1">
    <w:name w:val="List Table 3 Accent 1"/>
    <w:basedOn w:val="TableNormal"/>
    <w:uiPriority w:val="48"/>
    <w:rsid w:val="00BC54B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5">
    <w:name w:val="List Table 3 Accent 5"/>
    <w:basedOn w:val="TableNormal"/>
    <w:uiPriority w:val="48"/>
    <w:rsid w:val="0005751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548">
      <w:bodyDiv w:val="1"/>
      <w:marLeft w:val="0"/>
      <w:marRight w:val="0"/>
      <w:marTop w:val="0"/>
      <w:marBottom w:val="0"/>
      <w:divBdr>
        <w:top w:val="none" w:sz="0" w:space="0" w:color="auto"/>
        <w:left w:val="none" w:sz="0" w:space="0" w:color="auto"/>
        <w:bottom w:val="none" w:sz="0" w:space="0" w:color="auto"/>
        <w:right w:val="none" w:sz="0" w:space="0" w:color="auto"/>
      </w:divBdr>
    </w:div>
    <w:div w:id="940141071">
      <w:bodyDiv w:val="1"/>
      <w:marLeft w:val="0"/>
      <w:marRight w:val="0"/>
      <w:marTop w:val="0"/>
      <w:marBottom w:val="0"/>
      <w:divBdr>
        <w:top w:val="none" w:sz="0" w:space="0" w:color="auto"/>
        <w:left w:val="none" w:sz="0" w:space="0" w:color="auto"/>
        <w:bottom w:val="none" w:sz="0" w:space="0" w:color="auto"/>
        <w:right w:val="none" w:sz="0" w:space="0" w:color="auto"/>
      </w:divBdr>
    </w:div>
    <w:div w:id="1415469175">
      <w:bodyDiv w:val="1"/>
      <w:marLeft w:val="0"/>
      <w:marRight w:val="0"/>
      <w:marTop w:val="0"/>
      <w:marBottom w:val="0"/>
      <w:divBdr>
        <w:top w:val="none" w:sz="0" w:space="0" w:color="auto"/>
        <w:left w:val="none" w:sz="0" w:space="0" w:color="auto"/>
        <w:bottom w:val="none" w:sz="0" w:space="0" w:color="auto"/>
        <w:right w:val="none" w:sz="0" w:space="0" w:color="auto"/>
      </w:divBdr>
    </w:div>
    <w:div w:id="1520776228">
      <w:bodyDiv w:val="1"/>
      <w:marLeft w:val="0"/>
      <w:marRight w:val="0"/>
      <w:marTop w:val="0"/>
      <w:marBottom w:val="0"/>
      <w:divBdr>
        <w:top w:val="none" w:sz="0" w:space="0" w:color="auto"/>
        <w:left w:val="none" w:sz="0" w:space="0" w:color="auto"/>
        <w:bottom w:val="none" w:sz="0" w:space="0" w:color="auto"/>
        <w:right w:val="none" w:sz="0" w:space="0" w:color="auto"/>
      </w:divBdr>
    </w:div>
    <w:div w:id="1743985699">
      <w:bodyDiv w:val="1"/>
      <w:marLeft w:val="0"/>
      <w:marRight w:val="0"/>
      <w:marTop w:val="0"/>
      <w:marBottom w:val="0"/>
      <w:divBdr>
        <w:top w:val="none" w:sz="0" w:space="0" w:color="auto"/>
        <w:left w:val="none" w:sz="0" w:space="0" w:color="auto"/>
        <w:bottom w:val="none" w:sz="0" w:space="0" w:color="auto"/>
        <w:right w:val="none" w:sz="0" w:space="0" w:color="auto"/>
      </w:divBdr>
    </w:div>
    <w:div w:id="1994524207">
      <w:bodyDiv w:val="1"/>
      <w:marLeft w:val="0"/>
      <w:marRight w:val="0"/>
      <w:marTop w:val="0"/>
      <w:marBottom w:val="0"/>
      <w:divBdr>
        <w:top w:val="none" w:sz="0" w:space="0" w:color="auto"/>
        <w:left w:val="none" w:sz="0" w:space="0" w:color="auto"/>
        <w:bottom w:val="none" w:sz="0" w:space="0" w:color="auto"/>
        <w:right w:val="none" w:sz="0" w:space="0" w:color="auto"/>
      </w:divBdr>
    </w:div>
    <w:div w:id="2039813983">
      <w:bodyDiv w:val="1"/>
      <w:marLeft w:val="0"/>
      <w:marRight w:val="0"/>
      <w:marTop w:val="0"/>
      <w:marBottom w:val="0"/>
      <w:divBdr>
        <w:top w:val="none" w:sz="0" w:space="0" w:color="auto"/>
        <w:left w:val="none" w:sz="0" w:space="0" w:color="auto"/>
        <w:bottom w:val="none" w:sz="0" w:space="0" w:color="auto"/>
        <w:right w:val="none" w:sz="0" w:space="0" w:color="auto"/>
      </w:divBdr>
      <w:divsChild>
        <w:div w:id="1833182053">
          <w:marLeft w:val="0"/>
          <w:marRight w:val="0"/>
          <w:marTop w:val="0"/>
          <w:marBottom w:val="0"/>
          <w:divBdr>
            <w:top w:val="none" w:sz="0" w:space="0" w:color="auto"/>
            <w:left w:val="none" w:sz="0" w:space="0" w:color="auto"/>
            <w:bottom w:val="none" w:sz="0" w:space="0" w:color="auto"/>
            <w:right w:val="none" w:sz="0" w:space="0" w:color="auto"/>
          </w:divBdr>
          <w:divsChild>
            <w:div w:id="277563970">
              <w:marLeft w:val="0"/>
              <w:marRight w:val="0"/>
              <w:marTop w:val="0"/>
              <w:marBottom w:val="0"/>
              <w:divBdr>
                <w:top w:val="none" w:sz="0" w:space="0" w:color="auto"/>
                <w:left w:val="none" w:sz="0" w:space="0" w:color="auto"/>
                <w:bottom w:val="none" w:sz="0" w:space="0" w:color="auto"/>
                <w:right w:val="none" w:sz="0" w:space="0" w:color="auto"/>
              </w:divBdr>
              <w:divsChild>
                <w:div w:id="1674213238">
                  <w:marLeft w:val="0"/>
                  <w:marRight w:val="0"/>
                  <w:marTop w:val="0"/>
                  <w:marBottom w:val="0"/>
                  <w:divBdr>
                    <w:top w:val="none" w:sz="0" w:space="0" w:color="auto"/>
                    <w:left w:val="none" w:sz="0" w:space="0" w:color="auto"/>
                    <w:bottom w:val="none" w:sz="0" w:space="0" w:color="auto"/>
                    <w:right w:val="none" w:sz="0" w:space="0" w:color="auto"/>
                  </w:divBdr>
                  <w:divsChild>
                    <w:div w:id="14526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vesham.gov.uk/home/about-the-council/policies-strategies-open-data/transparency-and-open-data/community-profile" TargetMode="External"/><Relationship Id="rId18" Type="http://schemas.openxmlformats.org/officeDocument/2006/relationships/hyperlink" Target="mailto:licensing@gravesham.gov.uk" TargetMode="External"/><Relationship Id="rId26" Type="http://schemas.openxmlformats.org/officeDocument/2006/relationships/hyperlink" Target="mailto:licensing@kent.fire-uk.org" TargetMode="External"/><Relationship Id="rId3" Type="http://schemas.openxmlformats.org/officeDocument/2006/relationships/styles" Target="styles.xml"/><Relationship Id="rId21" Type="http://schemas.openxmlformats.org/officeDocument/2006/relationships/hyperlink" Target="mailto:info@gamblingcommission.gov.uk" TargetMode="External"/><Relationship Id="rId7" Type="http://schemas.openxmlformats.org/officeDocument/2006/relationships/endnotes" Target="endnotes.xml"/><Relationship Id="rId12" Type="http://schemas.openxmlformats.org/officeDocument/2006/relationships/hyperlink" Target="https://www.gravesham.gov.uk/" TargetMode="External"/><Relationship Id="rId17" Type="http://schemas.openxmlformats.org/officeDocument/2006/relationships/hyperlink" Target="https://www.gamblingcommission.gov.uk/home.aspx" TargetMode="External"/><Relationship Id="rId25" Type="http://schemas.openxmlformats.org/officeDocument/2006/relationships/hyperlink" Target="http://www.kent.fire-uk.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amblingcommission.gov.uk/home.aspx" TargetMode="External"/><Relationship Id="rId20" Type="http://schemas.openxmlformats.org/officeDocument/2006/relationships/hyperlink" Target="http://www.gamblingcommission.gov.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vesham.gov.uk/home/about-the-council/policies-strategies-open-data/transparency-and-open-data/community-profile" TargetMode="External"/><Relationship Id="rId24" Type="http://schemas.openxmlformats.org/officeDocument/2006/relationships/hyperlink" Target="mailto:kscmp@kent.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mittee.section@gravesham.gov.uk" TargetMode="External"/><Relationship Id="rId23" Type="http://schemas.openxmlformats.org/officeDocument/2006/relationships/hyperlink" Target="mailto:licensing.north.division@kent.pnn.police.uk" TargetMode="External"/><Relationship Id="rId28" Type="http://schemas.openxmlformats.org/officeDocument/2006/relationships/hyperlink" Target="mailto:planning.admin@gravesham.gov.uk" TargetMode="External"/><Relationship Id="rId10" Type="http://schemas.openxmlformats.org/officeDocument/2006/relationships/footer" Target="footer2.xml"/><Relationship Id="rId19" Type="http://schemas.openxmlformats.org/officeDocument/2006/relationships/hyperlink" Target="mailto:ep@gravesham.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vesham.gov.uk" TargetMode="External"/><Relationship Id="rId22" Type="http://schemas.openxmlformats.org/officeDocument/2006/relationships/hyperlink" Target="mailto:commercialhealth.admin@gravesham.gov.uk" TargetMode="External"/><Relationship Id="rId27" Type="http://schemas.openxmlformats.org/officeDocument/2006/relationships/hyperlink" Target="mailto:NRUBetting&amp;Gaming@hmrc.gsi.gov.uk" TargetMode="External"/><Relationship Id="rId30" Type="http://schemas.openxmlformats.org/officeDocument/2006/relationships/hyperlink" Target="http://www.gamcare.org.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5D7D-7084-48BA-9071-5A2D89FA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10224</Words>
  <Characters>56861</Characters>
  <Application>Microsoft Office Word</Application>
  <DocSecurity>0</DocSecurity>
  <Lines>1579</Lines>
  <Paragraphs>691</Paragraphs>
  <ScaleCrop>false</ScaleCrop>
  <HeadingPairs>
    <vt:vector size="2" baseType="variant">
      <vt:variant>
        <vt:lpstr>Title</vt:lpstr>
      </vt:variant>
      <vt:variant>
        <vt:i4>1</vt:i4>
      </vt:variant>
    </vt:vector>
  </HeadingPairs>
  <TitlesOfParts>
    <vt:vector size="1" baseType="lpstr">
      <vt:lpstr>Contents</vt:lpstr>
    </vt:vector>
  </TitlesOfParts>
  <Company>Gravesham Borough Council</Company>
  <LinksUpToDate>false</LinksUpToDate>
  <CharactersWithSpaces>66394</CharactersWithSpaces>
  <SharedDoc>false</SharedDoc>
  <HLinks>
    <vt:vector size="78" baseType="variant">
      <vt:variant>
        <vt:i4>7798841</vt:i4>
      </vt:variant>
      <vt:variant>
        <vt:i4>36</vt:i4>
      </vt:variant>
      <vt:variant>
        <vt:i4>0</vt:i4>
      </vt:variant>
      <vt:variant>
        <vt:i4>5</vt:i4>
      </vt:variant>
      <vt:variant>
        <vt:lpwstr>http://www.gamcare.org.uk/</vt:lpwstr>
      </vt:variant>
      <vt:variant>
        <vt:lpwstr/>
      </vt:variant>
      <vt:variant>
        <vt:i4>393282</vt:i4>
      </vt:variant>
      <vt:variant>
        <vt:i4>33</vt:i4>
      </vt:variant>
      <vt:variant>
        <vt:i4>0</vt:i4>
      </vt:variant>
      <vt:variant>
        <vt:i4>5</vt:i4>
      </vt:variant>
      <vt:variant>
        <vt:lpwstr>http://www.gravesham.gov.uk/</vt:lpwstr>
      </vt:variant>
      <vt:variant>
        <vt:lpwstr/>
      </vt:variant>
      <vt:variant>
        <vt:i4>655387</vt:i4>
      </vt:variant>
      <vt:variant>
        <vt:i4>30</vt:i4>
      </vt:variant>
      <vt:variant>
        <vt:i4>0</vt:i4>
      </vt:variant>
      <vt:variant>
        <vt:i4>5</vt:i4>
      </vt:variant>
      <vt:variant>
        <vt:lpwstr>http://www.kent.fire-uk.org/</vt:lpwstr>
      </vt:variant>
      <vt:variant>
        <vt:lpwstr/>
      </vt:variant>
      <vt:variant>
        <vt:i4>3276887</vt:i4>
      </vt:variant>
      <vt:variant>
        <vt:i4>27</vt:i4>
      </vt:variant>
      <vt:variant>
        <vt:i4>0</vt:i4>
      </vt:variant>
      <vt:variant>
        <vt:i4>5</vt:i4>
      </vt:variant>
      <vt:variant>
        <vt:lpwstr>mailto:info@gamblingcommission.gov.uk</vt:lpwstr>
      </vt:variant>
      <vt:variant>
        <vt:lpwstr/>
      </vt:variant>
      <vt:variant>
        <vt:i4>6029391</vt:i4>
      </vt:variant>
      <vt:variant>
        <vt:i4>24</vt:i4>
      </vt:variant>
      <vt:variant>
        <vt:i4>0</vt:i4>
      </vt:variant>
      <vt:variant>
        <vt:i4>5</vt:i4>
      </vt:variant>
      <vt:variant>
        <vt:lpwstr>http://www.gamblingcommission.gov.uk/</vt:lpwstr>
      </vt:variant>
      <vt:variant>
        <vt:lpwstr/>
      </vt:variant>
      <vt:variant>
        <vt:i4>6488175</vt:i4>
      </vt:variant>
      <vt:variant>
        <vt:i4>21</vt:i4>
      </vt:variant>
      <vt:variant>
        <vt:i4>0</vt:i4>
      </vt:variant>
      <vt:variant>
        <vt:i4>5</vt:i4>
      </vt:variant>
      <vt:variant>
        <vt:lpwstr>https://www.gamblingcommission.gov.uk/home.aspx</vt:lpwstr>
      </vt:variant>
      <vt:variant>
        <vt:lpwstr/>
      </vt:variant>
      <vt:variant>
        <vt:i4>6488175</vt:i4>
      </vt:variant>
      <vt:variant>
        <vt:i4>18</vt:i4>
      </vt:variant>
      <vt:variant>
        <vt:i4>0</vt:i4>
      </vt:variant>
      <vt:variant>
        <vt:i4>5</vt:i4>
      </vt:variant>
      <vt:variant>
        <vt:lpwstr>https://www.gamblingcommission.gov.uk/home.aspx</vt:lpwstr>
      </vt:variant>
      <vt:variant>
        <vt:lpwstr/>
      </vt:variant>
      <vt:variant>
        <vt:i4>65584</vt:i4>
      </vt:variant>
      <vt:variant>
        <vt:i4>15</vt:i4>
      </vt:variant>
      <vt:variant>
        <vt:i4>0</vt:i4>
      </vt:variant>
      <vt:variant>
        <vt:i4>5</vt:i4>
      </vt:variant>
      <vt:variant>
        <vt:lpwstr>mailto:committee.section@gravesham.gov.uk</vt:lpwstr>
      </vt:variant>
      <vt:variant>
        <vt:lpwstr/>
      </vt:variant>
      <vt:variant>
        <vt:i4>393282</vt:i4>
      </vt:variant>
      <vt:variant>
        <vt:i4>12</vt:i4>
      </vt:variant>
      <vt:variant>
        <vt:i4>0</vt:i4>
      </vt:variant>
      <vt:variant>
        <vt:i4>5</vt:i4>
      </vt:variant>
      <vt:variant>
        <vt:lpwstr>http://www.gravesham.gov.uk/</vt:lpwstr>
      </vt:variant>
      <vt:variant>
        <vt:lpwstr/>
      </vt:variant>
      <vt:variant>
        <vt:i4>393282</vt:i4>
      </vt:variant>
      <vt:variant>
        <vt:i4>9</vt:i4>
      </vt:variant>
      <vt:variant>
        <vt:i4>0</vt:i4>
      </vt:variant>
      <vt:variant>
        <vt:i4>5</vt:i4>
      </vt:variant>
      <vt:variant>
        <vt:lpwstr>http://www.gravesham.gov.uk/</vt:lpwstr>
      </vt:variant>
      <vt:variant>
        <vt:lpwstr/>
      </vt:variant>
      <vt:variant>
        <vt:i4>5439530</vt:i4>
      </vt:variant>
      <vt:variant>
        <vt:i4>6</vt:i4>
      </vt:variant>
      <vt:variant>
        <vt:i4>0</vt:i4>
      </vt:variant>
      <vt:variant>
        <vt:i4>5</vt:i4>
      </vt:variant>
      <vt:variant>
        <vt:lpwstr>http://www.gravesham.gov.uk/__data/assets/pdf_file/0009/225774/GBC-Community-Profile.pdf</vt:lpwstr>
      </vt:variant>
      <vt:variant>
        <vt:lpwstr/>
      </vt:variant>
      <vt:variant>
        <vt:i4>458753</vt:i4>
      </vt:variant>
      <vt:variant>
        <vt:i4>3</vt:i4>
      </vt:variant>
      <vt:variant>
        <vt:i4>0</vt:i4>
      </vt:variant>
      <vt:variant>
        <vt:i4>5</vt:i4>
      </vt:variant>
      <vt:variant>
        <vt:lpwstr>http://www.gravesham.gov.uk/home/about-the-council/policies-strategies-open-data/transparency-and-open-data/community-profile</vt:lpwstr>
      </vt:variant>
      <vt:variant>
        <vt:lpwstr/>
      </vt:variant>
      <vt:variant>
        <vt:i4>5439530</vt:i4>
      </vt:variant>
      <vt:variant>
        <vt:i4>0</vt:i4>
      </vt:variant>
      <vt:variant>
        <vt:i4>0</vt:i4>
      </vt:variant>
      <vt:variant>
        <vt:i4>5</vt:i4>
      </vt:variant>
      <vt:variant>
        <vt:lpwstr>http://www.gravesham.gov.uk/__data/assets/pdf_file/0009/225774/GBC-Community-Profile.pdf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CE</dc:creator>
  <cp:keywords/>
  <cp:lastModifiedBy>Mulcrow, Emma</cp:lastModifiedBy>
  <cp:revision>2</cp:revision>
  <cp:lastPrinted>2018-12-14T15:13:00Z</cp:lastPrinted>
  <dcterms:created xsi:type="dcterms:W3CDTF">2021-12-31T15:08:00Z</dcterms:created>
  <dcterms:modified xsi:type="dcterms:W3CDTF">2021-12-31T15:08:00Z</dcterms:modified>
</cp:coreProperties>
</file>