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4" w:type="dxa"/>
        <w:tblInd w:w="-72" w:type="dxa"/>
        <w:tblLayout w:type="fixed"/>
        <w:tblLook w:val="0000" w:firstRow="0" w:lastRow="0" w:firstColumn="0" w:lastColumn="0" w:noHBand="0" w:noVBand="0"/>
      </w:tblPr>
      <w:tblGrid>
        <w:gridCol w:w="2624"/>
        <w:gridCol w:w="6690"/>
      </w:tblGrid>
      <w:tr w:rsidR="005F30B2" w:rsidRPr="00F90A48" w14:paraId="006F07D1" w14:textId="77777777" w:rsidTr="002570C3">
        <w:trPr>
          <w:cantSplit/>
          <w:trHeight w:val="354"/>
        </w:trPr>
        <w:tc>
          <w:tcPr>
            <w:tcW w:w="9314" w:type="dxa"/>
            <w:gridSpan w:val="2"/>
          </w:tcPr>
          <w:p w14:paraId="3CD98924" w14:textId="44351666" w:rsidR="005F30B2" w:rsidRDefault="005F30B2" w:rsidP="004849D2">
            <w:pPr>
              <w:rPr>
                <w:b/>
                <w:sz w:val="24"/>
                <w:szCs w:val="24"/>
              </w:rPr>
            </w:pPr>
            <w:r>
              <w:rPr>
                <w:b/>
                <w:sz w:val="24"/>
                <w:szCs w:val="24"/>
              </w:rPr>
              <w:t>Classification:</w:t>
            </w:r>
            <w:r w:rsidR="005B0976">
              <w:rPr>
                <w:b/>
                <w:sz w:val="24"/>
                <w:szCs w:val="24"/>
              </w:rPr>
              <w:t xml:space="preserve"> </w:t>
            </w:r>
            <w:r w:rsidR="00C62485">
              <w:rPr>
                <w:szCs w:val="22"/>
              </w:rPr>
              <w:t>Public</w:t>
            </w:r>
          </w:p>
        </w:tc>
      </w:tr>
      <w:tr w:rsidR="00B339E6" w:rsidRPr="00F90A48" w14:paraId="0C85A1B4" w14:textId="77777777" w:rsidTr="002570C3">
        <w:trPr>
          <w:cantSplit/>
          <w:trHeight w:val="354"/>
        </w:trPr>
        <w:tc>
          <w:tcPr>
            <w:tcW w:w="9314" w:type="dxa"/>
            <w:gridSpan w:val="2"/>
          </w:tcPr>
          <w:p w14:paraId="3E8B9952" w14:textId="084188FC" w:rsidR="002570C3" w:rsidRPr="002570C3" w:rsidRDefault="00B339E6" w:rsidP="004849D2">
            <w:pPr>
              <w:rPr>
                <w:sz w:val="24"/>
                <w:szCs w:val="24"/>
              </w:rPr>
            </w:pPr>
            <w:r>
              <w:rPr>
                <w:b/>
                <w:sz w:val="24"/>
                <w:szCs w:val="24"/>
              </w:rPr>
              <w:t>Key Decision:</w:t>
            </w:r>
            <w:r w:rsidR="005B0976">
              <w:rPr>
                <w:b/>
                <w:sz w:val="24"/>
                <w:szCs w:val="24"/>
              </w:rPr>
              <w:t xml:space="preserve"> </w:t>
            </w:r>
            <w:r w:rsidR="00C62485">
              <w:rPr>
                <w:szCs w:val="22"/>
              </w:rPr>
              <w:t>No</w:t>
            </w:r>
          </w:p>
        </w:tc>
      </w:tr>
      <w:tr w:rsidR="00B339E6" w:rsidRPr="00F90A48" w14:paraId="7ACD99F3" w14:textId="77777777" w:rsidTr="002570C3">
        <w:trPr>
          <w:cantSplit/>
        </w:trPr>
        <w:tc>
          <w:tcPr>
            <w:tcW w:w="9314" w:type="dxa"/>
            <w:gridSpan w:val="2"/>
          </w:tcPr>
          <w:p w14:paraId="7D993D32" w14:textId="77777777" w:rsidR="00B339E6" w:rsidRPr="00F90A48" w:rsidRDefault="00B339E6" w:rsidP="004849D2">
            <w:pPr>
              <w:spacing w:before="1320" w:after="360"/>
              <w:jc w:val="center"/>
              <w:rPr>
                <w:b/>
                <w:sz w:val="24"/>
                <w:szCs w:val="24"/>
              </w:rPr>
            </w:pPr>
            <w:r w:rsidRPr="00F90A48">
              <w:rPr>
                <w:b/>
                <w:sz w:val="24"/>
                <w:szCs w:val="24"/>
              </w:rPr>
              <w:t>Gravesham Borough Council</w:t>
            </w:r>
          </w:p>
        </w:tc>
      </w:tr>
      <w:tr w:rsidR="00B339E6" w14:paraId="7313BC02" w14:textId="77777777" w:rsidTr="002570C3">
        <w:tc>
          <w:tcPr>
            <w:tcW w:w="2624" w:type="dxa"/>
          </w:tcPr>
          <w:p w14:paraId="3C9809F8" w14:textId="77777777" w:rsidR="00B339E6" w:rsidRPr="00F90A48" w:rsidRDefault="00B339E6" w:rsidP="004849D2">
            <w:pPr>
              <w:spacing w:after="240"/>
              <w:rPr>
                <w:b/>
                <w:sz w:val="24"/>
                <w:szCs w:val="24"/>
              </w:rPr>
            </w:pPr>
            <w:r w:rsidRPr="00F90A48">
              <w:rPr>
                <w:b/>
                <w:sz w:val="24"/>
                <w:szCs w:val="24"/>
              </w:rPr>
              <w:t>Report to:</w:t>
            </w:r>
          </w:p>
        </w:tc>
        <w:tc>
          <w:tcPr>
            <w:tcW w:w="6690" w:type="dxa"/>
          </w:tcPr>
          <w:p w14:paraId="2FC35153" w14:textId="12590DD1" w:rsidR="00B339E6" w:rsidRPr="00261795" w:rsidRDefault="00C62485" w:rsidP="004849D2">
            <w:pPr>
              <w:rPr>
                <w:szCs w:val="22"/>
              </w:rPr>
            </w:pPr>
            <w:r>
              <w:rPr>
                <w:szCs w:val="22"/>
              </w:rPr>
              <w:t>Housing Services Cabinet Committee</w:t>
            </w:r>
          </w:p>
        </w:tc>
      </w:tr>
      <w:tr w:rsidR="00B339E6" w14:paraId="14DC1C05" w14:textId="77777777" w:rsidTr="002570C3">
        <w:tc>
          <w:tcPr>
            <w:tcW w:w="2624" w:type="dxa"/>
          </w:tcPr>
          <w:p w14:paraId="57209748" w14:textId="77777777" w:rsidR="00B339E6" w:rsidRPr="00F90A48" w:rsidRDefault="00B339E6" w:rsidP="004849D2">
            <w:pPr>
              <w:spacing w:after="240"/>
              <w:rPr>
                <w:b/>
                <w:sz w:val="24"/>
                <w:szCs w:val="24"/>
              </w:rPr>
            </w:pPr>
            <w:r w:rsidRPr="00F90A48">
              <w:rPr>
                <w:b/>
                <w:sz w:val="24"/>
                <w:szCs w:val="24"/>
              </w:rPr>
              <w:t>Date:</w:t>
            </w:r>
          </w:p>
        </w:tc>
        <w:tc>
          <w:tcPr>
            <w:tcW w:w="6690" w:type="dxa"/>
          </w:tcPr>
          <w:p w14:paraId="1858770E" w14:textId="2821E59C" w:rsidR="00B339E6" w:rsidRPr="00261795" w:rsidRDefault="00C62485" w:rsidP="004849D2">
            <w:pPr>
              <w:rPr>
                <w:szCs w:val="22"/>
              </w:rPr>
            </w:pPr>
            <w:r>
              <w:rPr>
                <w:szCs w:val="22"/>
              </w:rPr>
              <w:t>4 June 2025</w:t>
            </w:r>
          </w:p>
        </w:tc>
      </w:tr>
      <w:tr w:rsidR="00B339E6" w14:paraId="247368C5" w14:textId="77777777" w:rsidTr="002570C3">
        <w:tc>
          <w:tcPr>
            <w:tcW w:w="2624" w:type="dxa"/>
          </w:tcPr>
          <w:p w14:paraId="5B2BADAD" w14:textId="77777777" w:rsidR="00B339E6" w:rsidRPr="00F90A48" w:rsidRDefault="00B339E6" w:rsidP="004849D2">
            <w:pPr>
              <w:spacing w:after="240"/>
              <w:rPr>
                <w:b/>
                <w:sz w:val="24"/>
                <w:szCs w:val="24"/>
              </w:rPr>
            </w:pPr>
            <w:r w:rsidRPr="00F90A48">
              <w:rPr>
                <w:b/>
                <w:sz w:val="24"/>
                <w:szCs w:val="24"/>
              </w:rPr>
              <w:t>Reporting officer:</w:t>
            </w:r>
          </w:p>
        </w:tc>
        <w:tc>
          <w:tcPr>
            <w:tcW w:w="6690" w:type="dxa"/>
          </w:tcPr>
          <w:p w14:paraId="35B2B917" w14:textId="6606D122" w:rsidR="00B339E6" w:rsidRPr="00261795" w:rsidRDefault="00C62485" w:rsidP="004849D2">
            <w:pPr>
              <w:rPr>
                <w:szCs w:val="22"/>
              </w:rPr>
            </w:pPr>
            <w:r>
              <w:rPr>
                <w:szCs w:val="22"/>
              </w:rPr>
              <w:t>Vicky May, Assistant Director</w:t>
            </w:r>
          </w:p>
        </w:tc>
      </w:tr>
      <w:tr w:rsidR="00B339E6" w14:paraId="6A65AF8C" w14:textId="77777777" w:rsidTr="002570C3">
        <w:tc>
          <w:tcPr>
            <w:tcW w:w="2624" w:type="dxa"/>
          </w:tcPr>
          <w:p w14:paraId="7A8716FE" w14:textId="77777777" w:rsidR="00B339E6" w:rsidRPr="00F90A48" w:rsidRDefault="00B339E6" w:rsidP="004849D2">
            <w:pPr>
              <w:spacing w:after="240"/>
              <w:rPr>
                <w:b/>
                <w:sz w:val="24"/>
                <w:szCs w:val="24"/>
              </w:rPr>
            </w:pPr>
            <w:r w:rsidRPr="00F90A48">
              <w:rPr>
                <w:b/>
                <w:sz w:val="24"/>
                <w:szCs w:val="24"/>
              </w:rPr>
              <w:t>Subject:</w:t>
            </w:r>
          </w:p>
        </w:tc>
        <w:tc>
          <w:tcPr>
            <w:tcW w:w="6690" w:type="dxa"/>
          </w:tcPr>
          <w:p w14:paraId="2B8A0EC7" w14:textId="7466729B" w:rsidR="00B339E6" w:rsidRPr="00261795" w:rsidRDefault="00C62485" w:rsidP="004849D2">
            <w:pPr>
              <w:rPr>
                <w:szCs w:val="22"/>
              </w:rPr>
            </w:pPr>
            <w:r>
              <w:rPr>
                <w:szCs w:val="22"/>
              </w:rPr>
              <w:t>Annual Complaints and Improvement Report 2024/25</w:t>
            </w:r>
          </w:p>
        </w:tc>
      </w:tr>
      <w:tr w:rsidR="00B339E6" w:rsidRPr="00F90A48" w14:paraId="2D347EB0" w14:textId="77777777" w:rsidTr="002570C3">
        <w:trPr>
          <w:cantSplit/>
        </w:trPr>
        <w:tc>
          <w:tcPr>
            <w:tcW w:w="9314" w:type="dxa"/>
            <w:gridSpan w:val="2"/>
          </w:tcPr>
          <w:p w14:paraId="5A0C8418" w14:textId="77777777" w:rsidR="00B339E6" w:rsidRPr="00F90A48" w:rsidRDefault="00B339E6" w:rsidP="004849D2">
            <w:pPr>
              <w:spacing w:before="120" w:after="120"/>
              <w:rPr>
                <w:caps/>
                <w:sz w:val="24"/>
                <w:szCs w:val="24"/>
              </w:rPr>
            </w:pPr>
            <w:r w:rsidRPr="00F90A48">
              <w:rPr>
                <w:b/>
                <w:sz w:val="24"/>
                <w:szCs w:val="24"/>
              </w:rPr>
              <w:t xml:space="preserve">Purpose and summary of report: </w:t>
            </w:r>
          </w:p>
        </w:tc>
      </w:tr>
      <w:tr w:rsidR="00B339E6" w14:paraId="07F2D6F3" w14:textId="77777777" w:rsidTr="002570C3">
        <w:trPr>
          <w:cantSplit/>
          <w:trHeight w:val="513"/>
        </w:trPr>
        <w:tc>
          <w:tcPr>
            <w:tcW w:w="9314" w:type="dxa"/>
            <w:gridSpan w:val="2"/>
          </w:tcPr>
          <w:p w14:paraId="53B66499" w14:textId="77777777" w:rsidR="00C62485" w:rsidRDefault="00C62485" w:rsidP="00C6248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update Housing Cabinet Committee with details of Housing related complaints received during 2024-2025.</w:t>
            </w:r>
            <w:r>
              <w:rPr>
                <w:rStyle w:val="eop"/>
                <w:rFonts w:ascii="Arial" w:hAnsi="Arial" w:cs="Arial"/>
                <w:sz w:val="22"/>
                <w:szCs w:val="22"/>
              </w:rPr>
              <w:t> </w:t>
            </w:r>
          </w:p>
          <w:p w14:paraId="51ECE3FA" w14:textId="30D41856" w:rsidR="00B339E6" w:rsidRPr="00261795" w:rsidRDefault="00B339E6" w:rsidP="004849D2">
            <w:pPr>
              <w:rPr>
                <w:szCs w:val="22"/>
              </w:rPr>
            </w:pPr>
          </w:p>
        </w:tc>
      </w:tr>
      <w:tr w:rsidR="00B339E6" w:rsidRPr="00F90A48" w14:paraId="750E7742" w14:textId="77777777" w:rsidTr="002570C3">
        <w:trPr>
          <w:cantSplit/>
        </w:trPr>
        <w:tc>
          <w:tcPr>
            <w:tcW w:w="9314" w:type="dxa"/>
            <w:gridSpan w:val="2"/>
          </w:tcPr>
          <w:p w14:paraId="0A2CD5B0" w14:textId="77777777" w:rsidR="00B339E6" w:rsidRPr="00F90A48" w:rsidRDefault="00B339E6" w:rsidP="004849D2">
            <w:pPr>
              <w:spacing w:before="120" w:after="120"/>
              <w:rPr>
                <w:b/>
                <w:caps/>
                <w:sz w:val="24"/>
                <w:szCs w:val="24"/>
              </w:rPr>
            </w:pPr>
            <w:r w:rsidRPr="00F90A48">
              <w:rPr>
                <w:b/>
                <w:sz w:val="24"/>
                <w:szCs w:val="24"/>
              </w:rPr>
              <w:t>Recommendations:</w:t>
            </w:r>
          </w:p>
        </w:tc>
      </w:tr>
      <w:tr w:rsidR="00B339E6" w14:paraId="531A3960" w14:textId="77777777" w:rsidTr="00DE62E8">
        <w:trPr>
          <w:cantSplit/>
          <w:trHeight w:val="954"/>
        </w:trPr>
        <w:tc>
          <w:tcPr>
            <w:tcW w:w="9314" w:type="dxa"/>
            <w:gridSpan w:val="2"/>
            <w:tcBorders>
              <w:bottom w:val="single" w:sz="4" w:space="0" w:color="auto"/>
            </w:tcBorders>
          </w:tcPr>
          <w:p w14:paraId="47021344" w14:textId="7B263B06" w:rsidR="007B2BD9" w:rsidRPr="00261795" w:rsidRDefault="00C62485" w:rsidP="004849D2">
            <w:pPr>
              <w:pStyle w:val="ListParagraph"/>
              <w:numPr>
                <w:ilvl w:val="0"/>
                <w:numId w:val="13"/>
              </w:numPr>
              <w:rPr>
                <w:szCs w:val="22"/>
              </w:rPr>
            </w:pPr>
            <w:r>
              <w:rPr>
                <w:rStyle w:val="normaltextrun"/>
                <w:rFonts w:cs="Arial"/>
                <w:color w:val="000000"/>
                <w:szCs w:val="22"/>
                <w:shd w:val="clear" w:color="auto" w:fill="FFFFFF"/>
              </w:rPr>
              <w:t>For information only.</w:t>
            </w:r>
          </w:p>
          <w:p w14:paraId="35A9EDF2" w14:textId="77777777" w:rsidR="00DF192C" w:rsidRDefault="00DF192C" w:rsidP="004849D2">
            <w:pPr>
              <w:pStyle w:val="ListParagraph"/>
            </w:pPr>
          </w:p>
        </w:tc>
      </w:tr>
      <w:tr w:rsidR="003C50C4" w:rsidRPr="00C13CAC" w14:paraId="22758196" w14:textId="77777777">
        <w:trPr>
          <w:trHeight w:val="299"/>
        </w:trPr>
        <w:tc>
          <w:tcPr>
            <w:tcW w:w="9314" w:type="dxa"/>
            <w:gridSpan w:val="2"/>
            <w:tcBorders>
              <w:top w:val="single" w:sz="4" w:space="0" w:color="auto"/>
              <w:left w:val="single" w:sz="4" w:space="0" w:color="auto"/>
              <w:bottom w:val="single" w:sz="4" w:space="0" w:color="auto"/>
              <w:right w:val="single" w:sz="4" w:space="0" w:color="auto"/>
            </w:tcBorders>
          </w:tcPr>
          <w:p w14:paraId="3017F743" w14:textId="77777777" w:rsidR="003C50C4" w:rsidRPr="00C13CAC" w:rsidRDefault="003C50C4" w:rsidP="004849D2">
            <w:pPr>
              <w:pStyle w:val="GBCReportBodyHeading"/>
              <w:keepNext w:val="0"/>
              <w:numPr>
                <w:ilvl w:val="0"/>
                <w:numId w:val="0"/>
              </w:numPr>
              <w:spacing w:after="120"/>
            </w:pPr>
            <w:r>
              <w:rPr>
                <w:sz w:val="24"/>
                <w:szCs w:val="24"/>
              </w:rPr>
              <w:t xml:space="preserve">Key </w:t>
            </w:r>
            <w:r w:rsidRPr="00C13CAC">
              <w:rPr>
                <w:sz w:val="24"/>
                <w:szCs w:val="24"/>
              </w:rPr>
              <w:t>Implications</w:t>
            </w:r>
            <w:r>
              <w:rPr>
                <w:sz w:val="24"/>
                <w:szCs w:val="24"/>
              </w:rPr>
              <w:t>:</w:t>
            </w:r>
          </w:p>
        </w:tc>
      </w:tr>
      <w:tr w:rsidR="003C50C4" w:rsidRPr="00C13CAC" w14:paraId="2AFF8768" w14:textId="77777777">
        <w:trPr>
          <w:trHeight w:val="299"/>
        </w:trPr>
        <w:tc>
          <w:tcPr>
            <w:tcW w:w="2624" w:type="dxa"/>
            <w:tcBorders>
              <w:top w:val="single" w:sz="4" w:space="0" w:color="auto"/>
              <w:left w:val="single" w:sz="4" w:space="0" w:color="auto"/>
              <w:bottom w:val="single" w:sz="4" w:space="0" w:color="auto"/>
              <w:right w:val="single" w:sz="4" w:space="0" w:color="auto"/>
            </w:tcBorders>
          </w:tcPr>
          <w:p w14:paraId="10F90C78" w14:textId="77777777" w:rsidR="003C50C4" w:rsidRPr="00C13CAC" w:rsidRDefault="003C50C4" w:rsidP="004849D2">
            <w:pPr>
              <w:pStyle w:val="GBCReportBodyHeading"/>
              <w:keepNext w:val="0"/>
              <w:numPr>
                <w:ilvl w:val="0"/>
                <w:numId w:val="0"/>
              </w:numPr>
              <w:spacing w:after="120"/>
            </w:pPr>
            <w:r w:rsidRPr="00C13CAC">
              <w:t>Item</w:t>
            </w:r>
          </w:p>
        </w:tc>
        <w:tc>
          <w:tcPr>
            <w:tcW w:w="6690" w:type="dxa"/>
            <w:tcBorders>
              <w:top w:val="single" w:sz="4" w:space="0" w:color="auto"/>
              <w:left w:val="single" w:sz="4" w:space="0" w:color="auto"/>
              <w:bottom w:val="single" w:sz="4" w:space="0" w:color="auto"/>
              <w:right w:val="single" w:sz="4" w:space="0" w:color="auto"/>
            </w:tcBorders>
          </w:tcPr>
          <w:p w14:paraId="3D601B2E" w14:textId="77777777" w:rsidR="003C50C4" w:rsidRPr="00C13CAC" w:rsidRDefault="003C50C4" w:rsidP="004849D2">
            <w:pPr>
              <w:pStyle w:val="GBCReportBodyHeading"/>
              <w:keepNext w:val="0"/>
              <w:numPr>
                <w:ilvl w:val="0"/>
                <w:numId w:val="0"/>
              </w:numPr>
              <w:spacing w:after="120"/>
            </w:pPr>
            <w:r w:rsidRPr="00C13CAC">
              <w:t>Implications</w:t>
            </w:r>
          </w:p>
        </w:tc>
      </w:tr>
      <w:tr w:rsidR="003C50C4" w:rsidRPr="00261795" w14:paraId="0C8676BB" w14:textId="77777777">
        <w:trPr>
          <w:trHeight w:val="598"/>
        </w:trPr>
        <w:tc>
          <w:tcPr>
            <w:tcW w:w="2624" w:type="dxa"/>
            <w:tcBorders>
              <w:top w:val="single" w:sz="4" w:space="0" w:color="auto"/>
              <w:left w:val="single" w:sz="4" w:space="0" w:color="auto"/>
              <w:bottom w:val="single" w:sz="4" w:space="0" w:color="auto"/>
              <w:right w:val="single" w:sz="4" w:space="0" w:color="auto"/>
            </w:tcBorders>
          </w:tcPr>
          <w:p w14:paraId="27FA7680" w14:textId="77777777" w:rsidR="003C50C4" w:rsidRPr="00F90A48" w:rsidRDefault="003C50C4" w:rsidP="004849D2">
            <w:pPr>
              <w:pStyle w:val="GBCReportBodyHeading"/>
              <w:keepNext w:val="0"/>
              <w:numPr>
                <w:ilvl w:val="0"/>
                <w:numId w:val="0"/>
              </w:numPr>
              <w:spacing w:after="120"/>
              <w:rPr>
                <w:b w:val="0"/>
                <w:sz w:val="24"/>
                <w:szCs w:val="24"/>
              </w:rPr>
            </w:pPr>
            <w:r w:rsidRPr="00C13CAC">
              <w:t>Legal</w:t>
            </w:r>
          </w:p>
        </w:tc>
        <w:tc>
          <w:tcPr>
            <w:tcW w:w="6690" w:type="dxa"/>
            <w:tcBorders>
              <w:top w:val="single" w:sz="4" w:space="0" w:color="auto"/>
              <w:left w:val="single" w:sz="4" w:space="0" w:color="auto"/>
              <w:bottom w:val="single" w:sz="4" w:space="0" w:color="auto"/>
              <w:right w:val="single" w:sz="4" w:space="0" w:color="auto"/>
            </w:tcBorders>
          </w:tcPr>
          <w:p w14:paraId="4EA0DE8C" w14:textId="2A0A9965" w:rsidR="003C50C4" w:rsidRPr="00261795" w:rsidRDefault="00C62485" w:rsidP="004849D2">
            <w:pPr>
              <w:rPr>
                <w:szCs w:val="22"/>
              </w:rPr>
            </w:pPr>
            <w:r>
              <w:rPr>
                <w:rStyle w:val="normaltextrun"/>
                <w:rFonts w:cs="Arial"/>
                <w:color w:val="1E1E1E"/>
                <w:szCs w:val="22"/>
                <w:shd w:val="clear" w:color="auto" w:fill="FFFFFF"/>
              </w:rPr>
              <w:t>The Social Housing (Regulation) Act 2023 places a duty on the Housing Ombudsman to monitor compliance with the statutory Complaint Handling Code. This means that the Housing Ombudsman is required to ensure that all landlords meet the standards set out in the Code for complaint handling, regardless of their size and operating model.</w:t>
            </w:r>
          </w:p>
        </w:tc>
      </w:tr>
      <w:tr w:rsidR="003C50C4" w:rsidRPr="00261795" w14:paraId="7B65DE59" w14:textId="77777777" w:rsidTr="00CC30C8">
        <w:trPr>
          <w:trHeight w:val="847"/>
        </w:trPr>
        <w:tc>
          <w:tcPr>
            <w:tcW w:w="2624" w:type="dxa"/>
            <w:tcBorders>
              <w:top w:val="single" w:sz="4" w:space="0" w:color="auto"/>
              <w:left w:val="single" w:sz="4" w:space="0" w:color="auto"/>
              <w:bottom w:val="single" w:sz="4" w:space="0" w:color="auto"/>
              <w:right w:val="single" w:sz="4" w:space="0" w:color="auto"/>
            </w:tcBorders>
          </w:tcPr>
          <w:p w14:paraId="1D859D8E" w14:textId="77777777" w:rsidR="003C50C4" w:rsidRPr="00C13CAC" w:rsidRDefault="003C50C4" w:rsidP="004849D2">
            <w:pPr>
              <w:pStyle w:val="GBCReportBodyHeading"/>
              <w:keepNext w:val="0"/>
              <w:numPr>
                <w:ilvl w:val="0"/>
                <w:numId w:val="0"/>
              </w:numPr>
              <w:spacing w:after="120"/>
            </w:pPr>
            <w:r w:rsidRPr="00E54BE0">
              <w:rPr>
                <w:color w:val="000000" w:themeColor="text1"/>
              </w:rPr>
              <w:t>Finance and Value for Money</w:t>
            </w:r>
          </w:p>
        </w:tc>
        <w:tc>
          <w:tcPr>
            <w:tcW w:w="6690" w:type="dxa"/>
            <w:tcBorders>
              <w:top w:val="single" w:sz="4" w:space="0" w:color="auto"/>
              <w:left w:val="single" w:sz="4" w:space="0" w:color="auto"/>
              <w:bottom w:val="single" w:sz="4" w:space="0" w:color="auto"/>
              <w:right w:val="single" w:sz="4" w:space="0" w:color="auto"/>
            </w:tcBorders>
          </w:tcPr>
          <w:p w14:paraId="29FA1E37" w14:textId="5955AB01" w:rsidR="003C50C4" w:rsidRPr="00261795" w:rsidRDefault="00C62485" w:rsidP="004849D2">
            <w:pPr>
              <w:rPr>
                <w:szCs w:val="22"/>
              </w:rPr>
            </w:pPr>
            <w:r>
              <w:rPr>
                <w:rStyle w:val="normaltextrun"/>
                <w:rFonts w:cs="Arial"/>
                <w:color w:val="000000"/>
                <w:szCs w:val="22"/>
                <w:shd w:val="clear" w:color="auto" w:fill="FFFFFF"/>
              </w:rPr>
              <w:t>Good complaint handling ensures instances of service failures or injustice are limited; that improvements to services can be identified at the earliest opportunity and any maladministration can be addressed and rectified promptly</w:t>
            </w:r>
            <w:r>
              <w:rPr>
                <w:rStyle w:val="eop"/>
                <w:rFonts w:cs="Arial"/>
                <w:color w:val="000000"/>
                <w:szCs w:val="22"/>
                <w:shd w:val="clear" w:color="auto" w:fill="FFFFFF"/>
              </w:rPr>
              <w:t>.</w:t>
            </w:r>
          </w:p>
        </w:tc>
      </w:tr>
      <w:tr w:rsidR="007A7A7C" w:rsidRPr="00261795" w14:paraId="16BD041F" w14:textId="77777777" w:rsidTr="004849D2">
        <w:trPr>
          <w:trHeight w:val="847"/>
        </w:trPr>
        <w:tc>
          <w:tcPr>
            <w:tcW w:w="2624" w:type="dxa"/>
            <w:vMerge w:val="restart"/>
            <w:tcBorders>
              <w:top w:val="single" w:sz="4" w:space="0" w:color="auto"/>
              <w:left w:val="single" w:sz="4" w:space="0" w:color="auto"/>
              <w:right w:val="single" w:sz="4" w:space="0" w:color="auto"/>
            </w:tcBorders>
            <w:shd w:val="clear" w:color="auto" w:fill="auto"/>
          </w:tcPr>
          <w:p w14:paraId="0E0FE948" w14:textId="77777777" w:rsidR="007A7A7C" w:rsidRPr="00E54BE0" w:rsidRDefault="007A7A7C" w:rsidP="004849D2">
            <w:pPr>
              <w:pStyle w:val="GBCReportBodyHeading"/>
              <w:keepNext w:val="0"/>
              <w:numPr>
                <w:ilvl w:val="0"/>
                <w:numId w:val="0"/>
              </w:numPr>
              <w:spacing w:after="120"/>
              <w:rPr>
                <w:color w:val="000000" w:themeColor="text1"/>
              </w:rPr>
            </w:pPr>
            <w:bookmarkStart w:id="0" w:name="_Hlk174099700"/>
            <w:r>
              <w:rPr>
                <w:color w:val="000000" w:themeColor="text1"/>
              </w:rPr>
              <w:t xml:space="preserve">Balancing the Budget </w:t>
            </w: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37A381F2" w14:textId="42D987F7" w:rsidR="00D4013D" w:rsidRPr="00C62485" w:rsidRDefault="007A7A7C" w:rsidP="00C62485">
            <w:pPr>
              <w:pStyle w:val="GBCReportBodyHeading"/>
              <w:numPr>
                <w:ilvl w:val="0"/>
                <w:numId w:val="15"/>
              </w:numPr>
              <w:spacing w:after="120"/>
              <w:rPr>
                <w:b w:val="0"/>
              </w:rPr>
            </w:pPr>
            <w:r>
              <w:rPr>
                <w:b w:val="0"/>
              </w:rPr>
              <w:t xml:space="preserve">Does this report form part of the </w:t>
            </w:r>
            <w:r w:rsidR="00D4013D">
              <w:rPr>
                <w:b w:val="0"/>
              </w:rPr>
              <w:t>balancing the budget delivery plan</w:t>
            </w:r>
            <w:r>
              <w:rPr>
                <w:b w:val="0"/>
              </w:rPr>
              <w:t>?</w:t>
            </w:r>
            <w:r w:rsidRPr="00C62485">
              <w:t xml:space="preserve"> </w:t>
            </w:r>
            <w:r w:rsidR="00C62485" w:rsidRPr="00C62485">
              <w:t>No</w:t>
            </w:r>
          </w:p>
        </w:tc>
      </w:tr>
      <w:bookmarkEnd w:id="0"/>
      <w:tr w:rsidR="004849D2" w:rsidRPr="00261795" w14:paraId="46AF9621" w14:textId="77777777" w:rsidTr="004849D2">
        <w:trPr>
          <w:trHeight w:val="847"/>
        </w:trPr>
        <w:tc>
          <w:tcPr>
            <w:tcW w:w="2624" w:type="dxa"/>
            <w:vMerge/>
            <w:tcBorders>
              <w:top w:val="single" w:sz="4" w:space="0" w:color="auto"/>
              <w:left w:val="single" w:sz="4" w:space="0" w:color="auto"/>
              <w:right w:val="single" w:sz="4" w:space="0" w:color="auto"/>
            </w:tcBorders>
            <w:shd w:val="clear" w:color="auto" w:fill="auto"/>
          </w:tcPr>
          <w:p w14:paraId="6C53DF9E" w14:textId="77777777" w:rsidR="004849D2" w:rsidRDefault="004849D2" w:rsidP="004849D2">
            <w:pPr>
              <w:pStyle w:val="GBCReportBodyHeading"/>
              <w:keepNext w:val="0"/>
              <w:numPr>
                <w:ilvl w:val="0"/>
                <w:numId w:val="0"/>
              </w:numPr>
              <w:spacing w:after="120"/>
              <w:rPr>
                <w:color w:val="000000" w:themeColor="text1"/>
              </w:rPr>
            </w:pP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411B12DE" w14:textId="3537C5A7" w:rsidR="004849D2" w:rsidRPr="00C62485" w:rsidRDefault="004849D2" w:rsidP="00C62485">
            <w:pPr>
              <w:pStyle w:val="GBCReportBodyHeading"/>
              <w:numPr>
                <w:ilvl w:val="0"/>
                <w:numId w:val="15"/>
              </w:numPr>
              <w:spacing w:after="120"/>
              <w:rPr>
                <w:b w:val="0"/>
              </w:rPr>
            </w:pPr>
            <w:r>
              <w:rPr>
                <w:b w:val="0"/>
              </w:rPr>
              <w:t xml:space="preserve">If yes to question a, when will the projected savings be recognised in the budget? </w:t>
            </w:r>
            <w:r w:rsidR="00C62485">
              <w:rPr>
                <w:b w:val="0"/>
              </w:rPr>
              <w:t>N/a</w:t>
            </w:r>
          </w:p>
        </w:tc>
      </w:tr>
      <w:tr w:rsidR="004849D2" w:rsidRPr="00261795" w14:paraId="30B90A59" w14:textId="77777777" w:rsidTr="004849D2">
        <w:trPr>
          <w:trHeight w:val="847"/>
        </w:trPr>
        <w:tc>
          <w:tcPr>
            <w:tcW w:w="2624" w:type="dxa"/>
            <w:vMerge/>
            <w:tcBorders>
              <w:left w:val="single" w:sz="4" w:space="0" w:color="auto"/>
              <w:bottom w:val="single" w:sz="4" w:space="0" w:color="auto"/>
              <w:right w:val="single" w:sz="4" w:space="0" w:color="auto"/>
            </w:tcBorders>
            <w:shd w:val="clear" w:color="auto" w:fill="auto"/>
          </w:tcPr>
          <w:p w14:paraId="591F54C4" w14:textId="77777777" w:rsidR="004849D2" w:rsidRDefault="004849D2" w:rsidP="004849D2">
            <w:pPr>
              <w:pStyle w:val="GBCReportBodyHeading"/>
              <w:keepNext w:val="0"/>
              <w:numPr>
                <w:ilvl w:val="0"/>
                <w:numId w:val="0"/>
              </w:numPr>
              <w:spacing w:after="120"/>
              <w:rPr>
                <w:color w:val="000000" w:themeColor="text1"/>
              </w:rPr>
            </w:pPr>
          </w:p>
        </w:tc>
        <w:tc>
          <w:tcPr>
            <w:tcW w:w="6690" w:type="dxa"/>
            <w:tcBorders>
              <w:top w:val="single" w:sz="4" w:space="0" w:color="auto"/>
              <w:left w:val="single" w:sz="4" w:space="0" w:color="auto"/>
              <w:bottom w:val="single" w:sz="4" w:space="0" w:color="auto"/>
              <w:right w:val="single" w:sz="4" w:space="0" w:color="auto"/>
            </w:tcBorders>
            <w:shd w:val="clear" w:color="auto" w:fill="auto"/>
          </w:tcPr>
          <w:p w14:paraId="063B6C5E" w14:textId="216C1139" w:rsidR="004849D2" w:rsidRPr="00C62485" w:rsidRDefault="004849D2" w:rsidP="00C62485">
            <w:pPr>
              <w:pStyle w:val="GBCReportBodyHeading"/>
              <w:numPr>
                <w:ilvl w:val="0"/>
                <w:numId w:val="15"/>
              </w:numPr>
              <w:spacing w:after="120"/>
              <w:rPr>
                <w:b w:val="0"/>
              </w:rPr>
            </w:pPr>
            <w:r>
              <w:rPr>
                <w:b w:val="0"/>
              </w:rPr>
              <w:t>If no to question a, should it form part of the plan?</w:t>
            </w:r>
            <w:r w:rsidR="00FE3ECA">
              <w:rPr>
                <w:b w:val="0"/>
              </w:rPr>
              <w:t xml:space="preserve"> </w:t>
            </w:r>
            <w:r w:rsidR="00C62485">
              <w:rPr>
                <w:b w:val="0"/>
              </w:rPr>
              <w:t xml:space="preserve">No </w:t>
            </w:r>
          </w:p>
        </w:tc>
      </w:tr>
      <w:tr w:rsidR="004849D2" w:rsidRPr="00261795" w14:paraId="48D71480" w14:textId="77777777" w:rsidTr="00934B4C">
        <w:trPr>
          <w:trHeight w:val="740"/>
        </w:trPr>
        <w:tc>
          <w:tcPr>
            <w:tcW w:w="2624" w:type="dxa"/>
            <w:tcBorders>
              <w:top w:val="single" w:sz="4" w:space="0" w:color="auto"/>
              <w:left w:val="single" w:sz="4" w:space="0" w:color="auto"/>
              <w:bottom w:val="single" w:sz="4" w:space="0" w:color="auto"/>
              <w:right w:val="single" w:sz="4" w:space="0" w:color="auto"/>
            </w:tcBorders>
          </w:tcPr>
          <w:p w14:paraId="45CEB4A6" w14:textId="77777777" w:rsidR="004849D2" w:rsidRPr="00E54BE0" w:rsidRDefault="004849D2" w:rsidP="004849D2">
            <w:pPr>
              <w:pStyle w:val="GBCReportBodyHeading"/>
              <w:keepNext w:val="0"/>
              <w:numPr>
                <w:ilvl w:val="0"/>
                <w:numId w:val="0"/>
              </w:numPr>
              <w:spacing w:after="120"/>
              <w:rPr>
                <w:color w:val="000000" w:themeColor="text1"/>
              </w:rPr>
            </w:pPr>
            <w:r>
              <w:rPr>
                <w:color w:val="000000" w:themeColor="text1"/>
              </w:rPr>
              <w:t>Corporate Plan</w:t>
            </w:r>
            <w:r w:rsidR="00FE3ECA">
              <w:rPr>
                <w:color w:val="000000" w:themeColor="text1"/>
              </w:rPr>
              <w:t xml:space="preserve"> </w:t>
            </w:r>
          </w:p>
        </w:tc>
        <w:sdt>
          <w:sdtPr>
            <w:rPr>
              <w:szCs w:val="22"/>
            </w:rPr>
            <w:id w:val="780232755"/>
            <w:placeholder>
              <w:docPart w:val="71CB2E9754A94416AE99D592B51D1A5B"/>
            </w:placeholder>
            <w15:color w:val="000000"/>
            <w:dropDownList>
              <w:listItem w:displayText="This report relates to Corporate Objective 01 - #ONEBOROUGH" w:value="This report relates to Corporate Objective 01 - #ONEBOROUGH"/>
              <w:listItem w:displayText="This report relates to Corporate Objective 02 - #ONECOMMUNITY" w:value="This report relates to Corporate Objective 02 - #ONECOMMUNITY"/>
              <w:listItem w:displayText="This report relates to Corporate Objective 03 - #ONECOUNCIL" w:value="This report relates to Corporate Objective 03 - #ONECOUNCIL"/>
            </w:dropDownList>
          </w:sdtPr>
          <w:sdtContent>
            <w:tc>
              <w:tcPr>
                <w:tcW w:w="6690" w:type="dxa"/>
                <w:tcBorders>
                  <w:top w:val="single" w:sz="4" w:space="0" w:color="auto"/>
                  <w:left w:val="single" w:sz="4" w:space="0" w:color="auto"/>
                  <w:bottom w:val="single" w:sz="4" w:space="0" w:color="auto"/>
                  <w:right w:val="single" w:sz="4" w:space="0" w:color="auto"/>
                </w:tcBorders>
              </w:tcPr>
              <w:p w14:paraId="25F5269D" w14:textId="524B2EDF" w:rsidR="004849D2" w:rsidRPr="00261795" w:rsidRDefault="00C62485" w:rsidP="00AD5F12">
                <w:pPr>
                  <w:rPr>
                    <w:szCs w:val="22"/>
                  </w:rPr>
                </w:pPr>
                <w:r>
                  <w:rPr>
                    <w:szCs w:val="22"/>
                  </w:rPr>
                  <w:t>This report relates to Corporate Objective 02 - #ONECOMMUNITY</w:t>
                </w:r>
              </w:p>
            </w:tc>
          </w:sdtContent>
        </w:sdt>
      </w:tr>
      <w:tr w:rsidR="004849D2" w:rsidRPr="00261795" w14:paraId="78B1DEAC" w14:textId="77777777">
        <w:trPr>
          <w:trHeight w:val="828"/>
        </w:trPr>
        <w:tc>
          <w:tcPr>
            <w:tcW w:w="2624" w:type="dxa"/>
            <w:tcBorders>
              <w:top w:val="single" w:sz="4" w:space="0" w:color="auto"/>
              <w:left w:val="single" w:sz="4" w:space="0" w:color="auto"/>
              <w:bottom w:val="single" w:sz="4" w:space="0" w:color="auto"/>
              <w:right w:val="single" w:sz="4" w:space="0" w:color="auto"/>
            </w:tcBorders>
          </w:tcPr>
          <w:p w14:paraId="7E3A4691" w14:textId="77777777" w:rsidR="004849D2" w:rsidRDefault="004849D2" w:rsidP="004849D2">
            <w:pPr>
              <w:pStyle w:val="GBCReportBodyHeading"/>
              <w:keepNext w:val="0"/>
              <w:numPr>
                <w:ilvl w:val="0"/>
                <w:numId w:val="0"/>
              </w:numPr>
              <w:spacing w:after="120"/>
              <w:rPr>
                <w:color w:val="000000" w:themeColor="text1"/>
              </w:rPr>
            </w:pPr>
            <w:r w:rsidRPr="00E54BE0">
              <w:rPr>
                <w:color w:val="000000" w:themeColor="text1"/>
              </w:rPr>
              <w:lastRenderedPageBreak/>
              <w:t xml:space="preserve">Climate Change </w:t>
            </w:r>
          </w:p>
        </w:tc>
        <w:tc>
          <w:tcPr>
            <w:tcW w:w="6690" w:type="dxa"/>
            <w:tcBorders>
              <w:top w:val="single" w:sz="4" w:space="0" w:color="auto"/>
              <w:left w:val="single" w:sz="4" w:space="0" w:color="auto"/>
              <w:bottom w:val="single" w:sz="4" w:space="0" w:color="auto"/>
              <w:right w:val="single" w:sz="4" w:space="0" w:color="auto"/>
            </w:tcBorders>
          </w:tcPr>
          <w:p w14:paraId="1CB2213D" w14:textId="34139F23" w:rsidR="004849D2" w:rsidRPr="00261795" w:rsidRDefault="00C62485" w:rsidP="004849D2">
            <w:pPr>
              <w:rPr>
                <w:szCs w:val="22"/>
              </w:rPr>
            </w:pPr>
            <w:r>
              <w:rPr>
                <w:szCs w:val="22"/>
              </w:rPr>
              <w:t>There are no implications</w:t>
            </w:r>
          </w:p>
        </w:tc>
      </w:tr>
    </w:tbl>
    <w:p w14:paraId="5AB8718E" w14:textId="77777777" w:rsidR="00F6228B" w:rsidRDefault="00F6228B" w:rsidP="004849D2">
      <w:pPr>
        <w:pStyle w:val="NoSpacing"/>
      </w:pPr>
    </w:p>
    <w:p w14:paraId="70E94533" w14:textId="77777777" w:rsidR="00F6228B" w:rsidRDefault="00F6228B" w:rsidP="004849D2">
      <w:pPr>
        <w:rPr>
          <w:rFonts w:ascii="Calibri" w:hAnsi="Calibri"/>
          <w:szCs w:val="22"/>
          <w:lang w:eastAsia="en-US"/>
        </w:rPr>
      </w:pPr>
    </w:p>
    <w:p w14:paraId="4010B5F4" w14:textId="2E63A46E" w:rsidR="00B339E6" w:rsidRPr="00261795" w:rsidRDefault="00C62485" w:rsidP="004849D2">
      <w:pPr>
        <w:pStyle w:val="GBCReportBodyHeading"/>
      </w:pPr>
      <w:r>
        <w:t>Introduction</w:t>
      </w:r>
    </w:p>
    <w:p w14:paraId="265A9249" w14:textId="77777777" w:rsidR="00C62485" w:rsidRPr="008E5F37" w:rsidRDefault="00C62485" w:rsidP="00C62485">
      <w:pPr>
        <w:pStyle w:val="GBCReportBodyText"/>
        <w:rPr>
          <w:rStyle w:val="eop"/>
        </w:rPr>
      </w:pPr>
      <w:r>
        <w:rPr>
          <w:rStyle w:val="normaltextrun"/>
          <w:rFonts w:cs="Arial"/>
          <w:color w:val="000000"/>
          <w:szCs w:val="22"/>
          <w:shd w:val="clear" w:color="auto" w:fill="FFFFFF"/>
        </w:rPr>
        <w:t>In October 2023, the Housing Ombudsman Service consulted on their Complaint Handling Code, ushered in by the Social Housing (Regulation) Act 2023. Following the consultation, the Housing Ombudsman introduced a statutory Complaint Handling Code on 1 April 2024, meaning that social housing landlords are obliged by law to follow its requirements.  The code aims to achieve best practice in complaint handling and ultimately to provide a better service to residents.</w:t>
      </w:r>
      <w:r>
        <w:rPr>
          <w:rStyle w:val="eop"/>
          <w:rFonts w:cs="Arial"/>
          <w:color w:val="000000"/>
          <w:szCs w:val="22"/>
          <w:shd w:val="clear" w:color="auto" w:fill="FFFFFF"/>
        </w:rPr>
        <w:t> </w:t>
      </w:r>
    </w:p>
    <w:p w14:paraId="7BAAB449" w14:textId="77777777" w:rsidR="00C62485" w:rsidRPr="008E5F37" w:rsidRDefault="00C62485" w:rsidP="00C62485">
      <w:pPr>
        <w:pStyle w:val="GBCReportBodyText"/>
        <w:rPr>
          <w:rStyle w:val="eop"/>
          <w:rFonts w:cs="Arial"/>
          <w:color w:val="1E1E1E"/>
        </w:rPr>
      </w:pPr>
      <w:r w:rsidRPr="2464F681">
        <w:rPr>
          <w:rStyle w:val="normaltextrun"/>
          <w:rFonts w:cs="Arial"/>
          <w:color w:val="1E1E1E"/>
          <w:shd w:val="clear" w:color="auto" w:fill="FFFFFF"/>
        </w:rPr>
        <w:t>The Social Housing (Regulation) Act 2023 places a duty on the Housing Ombudsman to monitor compliance with the statutory Complaint Handling Code. This means that the Housing Ombudsman is required to ensure that all landlords meet the standards set out in the Code for complaint handling, regardless of their size and operating model.  The duty allows the Ombudsman to assess landlords even where no complaints have been referred to them for investigation. </w:t>
      </w:r>
    </w:p>
    <w:p w14:paraId="5ED35672" w14:textId="77777777" w:rsidR="00C62485" w:rsidRPr="008E5F37" w:rsidRDefault="00C62485" w:rsidP="00C62485">
      <w:pPr>
        <w:pStyle w:val="GBCReportBodyText"/>
        <w:rPr>
          <w:rStyle w:val="eop"/>
        </w:rPr>
      </w:pPr>
      <w:r w:rsidRPr="004D5F4F">
        <w:rPr>
          <w:rStyle w:val="normaltextrun"/>
          <w:rFonts w:cs="Arial"/>
          <w:color w:val="1E1E1E"/>
          <w:szCs w:val="22"/>
        </w:rPr>
        <w:t xml:space="preserve">The changes introduced in April 2024 means; landlords will need to submit their self-assessment annually to the Ombudsman. </w:t>
      </w:r>
      <w:r w:rsidRPr="004D5F4F">
        <w:rPr>
          <w:rStyle w:val="normaltextrun"/>
          <w:rFonts w:cs="Arial"/>
          <w:color w:val="1E1E1E"/>
          <w:szCs w:val="22"/>
          <w:shd w:val="clear" w:color="auto" w:fill="FFFFFF"/>
        </w:rPr>
        <w:t xml:space="preserve">The statutory Complaint Handling Code requires landlords to have a Member Responsible for Complaints on their governing body </w:t>
      </w:r>
      <w:proofErr w:type="gramStart"/>
      <w:r w:rsidRPr="004D5F4F">
        <w:rPr>
          <w:rStyle w:val="normaltextrun"/>
          <w:rFonts w:cs="Arial"/>
          <w:color w:val="1E1E1E"/>
          <w:szCs w:val="22"/>
          <w:shd w:val="clear" w:color="auto" w:fill="FFFFFF"/>
        </w:rPr>
        <w:t>in order to</w:t>
      </w:r>
      <w:proofErr w:type="gramEnd"/>
      <w:r w:rsidRPr="004D5F4F">
        <w:rPr>
          <w:rStyle w:val="normaltextrun"/>
          <w:rFonts w:cs="Arial"/>
          <w:color w:val="1E1E1E"/>
          <w:szCs w:val="22"/>
          <w:shd w:val="clear" w:color="auto" w:fill="FFFFFF"/>
        </w:rPr>
        <w:t>:</w:t>
      </w:r>
      <w:r w:rsidRPr="004D5F4F">
        <w:rPr>
          <w:rStyle w:val="eop"/>
          <w:rFonts w:cs="Arial"/>
          <w:color w:val="1E1E1E"/>
          <w:szCs w:val="22"/>
          <w:shd w:val="clear" w:color="auto" w:fill="FFFFFF"/>
        </w:rPr>
        <w:t> </w:t>
      </w:r>
    </w:p>
    <w:p w14:paraId="6CA82C0D" w14:textId="77777777" w:rsidR="00C62485" w:rsidRDefault="00C62485" w:rsidP="00C62485">
      <w:pPr>
        <w:pStyle w:val="GBCReportBodyText"/>
        <w:numPr>
          <w:ilvl w:val="2"/>
          <w:numId w:val="7"/>
        </w:numPr>
      </w:pPr>
      <w:r w:rsidRPr="008E5F37">
        <w:t>Champion a positive complaint handling culture</w:t>
      </w:r>
    </w:p>
    <w:p w14:paraId="0AAEEA5C" w14:textId="77777777" w:rsidR="00C62485" w:rsidRDefault="00C62485" w:rsidP="00C62485">
      <w:pPr>
        <w:pStyle w:val="GBCReportBodyText"/>
        <w:numPr>
          <w:ilvl w:val="2"/>
          <w:numId w:val="7"/>
        </w:numPr>
      </w:pPr>
      <w:r w:rsidRPr="008E5F37">
        <w:t>Provide assurance to the governing body on the effic</w:t>
      </w:r>
      <w:r>
        <w:t>ien</w:t>
      </w:r>
      <w:r w:rsidRPr="008E5F37">
        <w:t xml:space="preserve">cy of its complaints system including challenging the data and information provided. </w:t>
      </w:r>
    </w:p>
    <w:p w14:paraId="736173CE" w14:textId="77777777" w:rsidR="00C62485" w:rsidRDefault="00C62485" w:rsidP="00C62485">
      <w:pPr>
        <w:pStyle w:val="GBCReportBodyText"/>
        <w:numPr>
          <w:ilvl w:val="2"/>
          <w:numId w:val="7"/>
        </w:numPr>
      </w:pPr>
      <w:r w:rsidRPr="008E5F37">
        <w:t>Seek assurances from the complaints team and where appropriate the operational teams that complaints are being managed, change is happening and that residents are being heard through the process.</w:t>
      </w:r>
    </w:p>
    <w:p w14:paraId="7CA4A25D" w14:textId="77777777" w:rsidR="00C62485" w:rsidRDefault="00C62485" w:rsidP="00C62485">
      <w:pPr>
        <w:pStyle w:val="GBCReportBodyText"/>
        <w:numPr>
          <w:ilvl w:val="2"/>
          <w:numId w:val="7"/>
        </w:numPr>
      </w:pPr>
      <w:r>
        <w:t xml:space="preserve">Seek assurances from the complaints team and where appropriate the operational teams that complaints are being managed, change is happening and that residents are being heard through the process.  </w:t>
      </w:r>
    </w:p>
    <w:p w14:paraId="52F5C5CA" w14:textId="77777777" w:rsidR="00C62485" w:rsidRDefault="00C62485" w:rsidP="00C62485">
      <w:pPr>
        <w:pStyle w:val="GBCReportBodyText"/>
        <w:numPr>
          <w:ilvl w:val="2"/>
          <w:numId w:val="7"/>
        </w:numPr>
      </w:pPr>
      <w:r>
        <w:t>To ensure complaint handling promotes service improvement for residents and learning and business improvement for the organisation.</w:t>
      </w:r>
    </w:p>
    <w:p w14:paraId="39B1C7E6" w14:textId="77777777" w:rsidR="00C62485" w:rsidRPr="008E5F37" w:rsidRDefault="00C62485" w:rsidP="00C62485">
      <w:pPr>
        <w:pStyle w:val="GBCReportBodyText"/>
        <w:rPr>
          <w:rStyle w:val="eop"/>
        </w:rPr>
      </w:pPr>
      <w:r>
        <w:rPr>
          <w:rStyle w:val="normaltextrun"/>
          <w:rFonts w:cs="Arial"/>
          <w:color w:val="000000"/>
          <w:szCs w:val="22"/>
          <w:shd w:val="clear" w:color="auto" w:fill="FFFFFF"/>
        </w:rPr>
        <w:t xml:space="preserve">Information relating to this role can be found at on the Housing Ombudsman’s website at the following location:  </w:t>
      </w:r>
      <w:hyperlink r:id="rId8" w:tgtFrame="_blank" w:history="1">
        <w:r>
          <w:rPr>
            <w:rStyle w:val="normaltextrun"/>
            <w:rFonts w:cs="Arial"/>
            <w:color w:val="0000FF"/>
            <w:szCs w:val="22"/>
            <w:u w:val="single"/>
            <w:shd w:val="clear" w:color="auto" w:fill="FFFFFF"/>
          </w:rPr>
          <w:t>Expectations for the MRC role | Housing Ombudsman (housing-ombudsman.org.uk)</w:t>
        </w:r>
      </w:hyperlink>
      <w:r>
        <w:rPr>
          <w:rStyle w:val="normaltextrun"/>
          <w:rFonts w:cs="Arial"/>
          <w:color w:val="0000FF"/>
          <w:szCs w:val="22"/>
          <w:u w:val="single"/>
          <w:shd w:val="clear" w:color="auto" w:fill="FFFFFF"/>
        </w:rPr>
        <w:t>. </w:t>
      </w:r>
      <w:r>
        <w:rPr>
          <w:rStyle w:val="normaltextrun"/>
          <w:rFonts w:cs="Arial"/>
          <w:szCs w:val="22"/>
          <w:shd w:val="clear" w:color="auto" w:fill="FFFFFF"/>
        </w:rPr>
        <w:t xml:space="preserve"> </w:t>
      </w:r>
      <w:proofErr w:type="gramStart"/>
      <w:r>
        <w:rPr>
          <w:rStyle w:val="normaltextrun"/>
          <w:rFonts w:cs="Arial"/>
          <w:szCs w:val="22"/>
          <w:shd w:val="clear" w:color="auto" w:fill="FFFFFF"/>
        </w:rPr>
        <w:t>In regard to</w:t>
      </w:r>
      <w:proofErr w:type="gramEnd"/>
      <w:r>
        <w:rPr>
          <w:rStyle w:val="normaltextrun"/>
          <w:rFonts w:cs="Arial"/>
          <w:szCs w:val="22"/>
          <w:shd w:val="clear" w:color="auto" w:fill="FFFFFF"/>
        </w:rPr>
        <w:t xml:space="preserve"> Gravesham Borough Council, the Member responsible for Complaints relating to Housing will be the Cabinet Member for Housing Services.</w:t>
      </w:r>
      <w:r>
        <w:rPr>
          <w:rStyle w:val="eop"/>
          <w:rFonts w:cs="Arial"/>
          <w:szCs w:val="22"/>
          <w:shd w:val="clear" w:color="auto" w:fill="FFFFFF"/>
        </w:rPr>
        <w:t> </w:t>
      </w:r>
    </w:p>
    <w:p w14:paraId="5C21385E" w14:textId="71ACC703" w:rsidR="00B339E6" w:rsidRDefault="00C62485" w:rsidP="00C62485">
      <w:pPr>
        <w:pStyle w:val="GBCReportBodyText"/>
      </w:pPr>
      <w:r>
        <w:rPr>
          <w:rStyle w:val="normaltextrun"/>
          <w:rFonts w:cs="Arial"/>
          <w:color w:val="000000"/>
          <w:szCs w:val="22"/>
          <w:shd w:val="clear" w:color="auto" w:fill="FFFFFF"/>
        </w:rPr>
        <w:t xml:space="preserve">Therefore, </w:t>
      </w:r>
      <w:proofErr w:type="gramStart"/>
      <w:r>
        <w:rPr>
          <w:rStyle w:val="normaltextrun"/>
          <w:rFonts w:cs="Arial"/>
          <w:color w:val="000000"/>
          <w:szCs w:val="22"/>
          <w:shd w:val="clear" w:color="auto" w:fill="FFFFFF"/>
        </w:rPr>
        <w:t>in order to</w:t>
      </w:r>
      <w:proofErr w:type="gramEnd"/>
      <w:r>
        <w:rPr>
          <w:rStyle w:val="normaltextrun"/>
          <w:rFonts w:cs="Arial"/>
          <w:color w:val="000000"/>
          <w:szCs w:val="22"/>
          <w:shd w:val="clear" w:color="auto" w:fill="FFFFFF"/>
        </w:rPr>
        <w:t xml:space="preserve"> give assurances to the Cabinet Member and the Housing Services Cabinet Committee, the subsequent content of this report focusses on corporate complaints received by the Council during the financial year 2024-25, Ombudsman investigations, common themes and lessons learnt.</w:t>
      </w:r>
      <w:r>
        <w:rPr>
          <w:rStyle w:val="eop"/>
          <w:rFonts w:cs="Arial"/>
          <w:color w:val="000000"/>
          <w:szCs w:val="22"/>
          <w:shd w:val="clear" w:color="auto" w:fill="FFFFFF"/>
        </w:rPr>
        <w:t> </w:t>
      </w:r>
    </w:p>
    <w:p w14:paraId="017C491E" w14:textId="7BB8AD20" w:rsidR="003C50C4" w:rsidRDefault="00C62485" w:rsidP="004849D2">
      <w:pPr>
        <w:pStyle w:val="GBCReportBodyHeading"/>
      </w:pPr>
      <w:r>
        <w:lastRenderedPageBreak/>
        <w:t>Learning from complaints</w:t>
      </w:r>
    </w:p>
    <w:p w14:paraId="13234516" w14:textId="77777777" w:rsidR="00C62485" w:rsidRPr="005641F6" w:rsidRDefault="00C62485" w:rsidP="00C62485">
      <w:pPr>
        <w:pStyle w:val="GBCReportBodyText"/>
        <w:rPr>
          <w:rStyle w:val="normaltextrun"/>
        </w:rPr>
      </w:pPr>
      <w:r>
        <w:rPr>
          <w:rStyle w:val="normaltextrun"/>
          <w:rFonts w:cs="Arial"/>
          <w:color w:val="000000"/>
          <w:szCs w:val="22"/>
          <w:shd w:val="clear" w:color="auto" w:fill="FFFFFF"/>
        </w:rPr>
        <w:t xml:space="preserve">As a result of complaints received by the Council </w:t>
      </w:r>
      <w:proofErr w:type="gramStart"/>
      <w:r>
        <w:rPr>
          <w:rStyle w:val="normaltextrun"/>
          <w:rFonts w:cs="Arial"/>
          <w:color w:val="000000"/>
          <w:szCs w:val="22"/>
          <w:shd w:val="clear" w:color="auto" w:fill="FFFFFF"/>
        </w:rPr>
        <w:t>in regard to</w:t>
      </w:r>
      <w:proofErr w:type="gramEnd"/>
      <w:r>
        <w:rPr>
          <w:rStyle w:val="normaltextrun"/>
          <w:rFonts w:cs="Arial"/>
          <w:color w:val="000000"/>
          <w:szCs w:val="22"/>
          <w:shd w:val="clear" w:color="auto" w:fill="FFFFFF"/>
        </w:rPr>
        <w:t xml:space="preserve"> the Council’s landlord function, the assistant director has provided a report which can be viewed in appendix A.</w:t>
      </w:r>
    </w:p>
    <w:p w14:paraId="4B1E0980" w14:textId="77777777" w:rsidR="00C62485" w:rsidRPr="005641F6" w:rsidRDefault="00C62485" w:rsidP="00C62485">
      <w:pPr>
        <w:pStyle w:val="GBCReportBodyText"/>
        <w:rPr>
          <w:rStyle w:val="normaltextrun"/>
        </w:rPr>
      </w:pPr>
      <w:r>
        <w:rPr>
          <w:rStyle w:val="normaltextrun"/>
          <w:rFonts w:cs="Arial"/>
          <w:color w:val="000000"/>
          <w:szCs w:val="22"/>
          <w:shd w:val="clear" w:color="auto" w:fill="FFFFFF"/>
        </w:rPr>
        <w:t>An overview shows:</w:t>
      </w:r>
    </w:p>
    <w:p w14:paraId="5A5F494B" w14:textId="77777777" w:rsidR="00C62485" w:rsidRDefault="00C62485" w:rsidP="00C62485">
      <w:pPr>
        <w:pStyle w:val="GBCReportBodyText"/>
        <w:numPr>
          <w:ilvl w:val="0"/>
          <w:numId w:val="0"/>
        </w:numPr>
        <w:ind w:left="2160" w:hanging="1080"/>
        <w:rPr>
          <w:rStyle w:val="normaltextrun"/>
          <w:rFonts w:cs="Arial"/>
          <w:color w:val="000000"/>
          <w:szCs w:val="22"/>
          <w:shd w:val="clear" w:color="auto" w:fill="FFFFFF"/>
        </w:rPr>
      </w:pPr>
      <w:r>
        <w:rPr>
          <w:rStyle w:val="normaltextrun"/>
          <w:rFonts w:cs="Arial"/>
          <w:color w:val="000000"/>
          <w:szCs w:val="22"/>
          <w:shd w:val="clear" w:color="auto" w:fill="FFFFFF"/>
        </w:rPr>
        <w:t>2.2.1</w:t>
      </w:r>
      <w:r>
        <w:rPr>
          <w:rStyle w:val="normaltextrun"/>
          <w:rFonts w:cs="Arial"/>
          <w:color w:val="000000"/>
          <w:szCs w:val="22"/>
          <w:shd w:val="clear" w:color="auto" w:fill="FFFFFF"/>
        </w:rPr>
        <w:tab/>
        <w:t>There were 116 stage 1 complaints across the service of which 53.4% were upheld and 91.3% responded on time.</w:t>
      </w:r>
    </w:p>
    <w:p w14:paraId="148B9B44" w14:textId="77777777" w:rsidR="00C62485" w:rsidRDefault="00C62485" w:rsidP="00C62485">
      <w:pPr>
        <w:pStyle w:val="GBCReportBodyText"/>
        <w:numPr>
          <w:ilvl w:val="0"/>
          <w:numId w:val="0"/>
        </w:numPr>
        <w:ind w:left="2160" w:hanging="1080"/>
        <w:rPr>
          <w:rStyle w:val="normaltextrun"/>
          <w:rFonts w:cs="Arial"/>
          <w:color w:val="000000"/>
          <w:szCs w:val="22"/>
          <w:shd w:val="clear" w:color="auto" w:fill="FFFFFF"/>
        </w:rPr>
      </w:pPr>
      <w:r>
        <w:rPr>
          <w:rStyle w:val="normaltextrun"/>
          <w:rFonts w:cs="Arial"/>
          <w:color w:val="000000"/>
          <w:szCs w:val="22"/>
          <w:shd w:val="clear" w:color="auto" w:fill="FFFFFF"/>
        </w:rPr>
        <w:t>2.2.2</w:t>
      </w:r>
      <w:r>
        <w:rPr>
          <w:rStyle w:val="normaltextrun"/>
          <w:rFonts w:cs="Arial"/>
          <w:color w:val="000000"/>
          <w:szCs w:val="22"/>
          <w:shd w:val="clear" w:color="auto" w:fill="FFFFFF"/>
        </w:rPr>
        <w:tab/>
        <w:t xml:space="preserve">There were 18 Stage 2 complaints across the service of which 72.2% were upheld and 88.8% responded on time. It is worth noting that </w:t>
      </w:r>
      <w:r>
        <w:t>if the Council has got something wrong, it must record the complaint as being upheld even if there are elements of the complaint it has not upheld</w:t>
      </w:r>
      <w:r>
        <w:rPr>
          <w:rStyle w:val="normaltextrun"/>
          <w:rFonts w:cs="Arial"/>
          <w:color w:val="000000"/>
          <w:szCs w:val="22"/>
          <w:shd w:val="clear" w:color="auto" w:fill="FFFFFF"/>
        </w:rPr>
        <w:t xml:space="preserve">.  </w:t>
      </w:r>
    </w:p>
    <w:p w14:paraId="4AD02B16" w14:textId="77777777" w:rsidR="00C62485" w:rsidRDefault="00C62485" w:rsidP="00C62485">
      <w:pPr>
        <w:pStyle w:val="GBCReportBodyText"/>
        <w:numPr>
          <w:ilvl w:val="0"/>
          <w:numId w:val="0"/>
        </w:numPr>
        <w:ind w:left="2160" w:hanging="1080"/>
        <w:rPr>
          <w:rStyle w:val="normaltextrun"/>
          <w:rFonts w:cs="Arial"/>
          <w:color w:val="000000"/>
          <w:szCs w:val="22"/>
          <w:shd w:val="clear" w:color="auto" w:fill="FFFFFF"/>
        </w:rPr>
      </w:pPr>
      <w:r>
        <w:rPr>
          <w:rStyle w:val="normaltextrun"/>
          <w:rFonts w:cs="Arial"/>
          <w:color w:val="000000"/>
          <w:szCs w:val="22"/>
          <w:shd w:val="clear" w:color="auto" w:fill="FFFFFF"/>
        </w:rPr>
        <w:t>2.2.3</w:t>
      </w:r>
      <w:r>
        <w:rPr>
          <w:rStyle w:val="normaltextrun"/>
          <w:rFonts w:cs="Arial"/>
          <w:color w:val="000000"/>
          <w:szCs w:val="22"/>
          <w:shd w:val="clear" w:color="auto" w:fill="FFFFFF"/>
        </w:rPr>
        <w:tab/>
        <w:t>The Repairs Service received the most complaints however this is not unique and common to see across the sector.   With 24,887 repairs completed this represents 0.2% that subsequently made a complaint.</w:t>
      </w:r>
    </w:p>
    <w:p w14:paraId="2F11CB5A" w14:textId="77777777" w:rsidR="00C62485" w:rsidRDefault="00C62485" w:rsidP="00C62485">
      <w:pPr>
        <w:pStyle w:val="GBCReportBodyText"/>
        <w:numPr>
          <w:ilvl w:val="0"/>
          <w:numId w:val="0"/>
        </w:numPr>
        <w:ind w:left="2160" w:hanging="1080"/>
        <w:rPr>
          <w:rStyle w:val="normaltextrun"/>
          <w:rFonts w:cs="Arial"/>
          <w:color w:val="000000"/>
          <w:szCs w:val="22"/>
          <w:shd w:val="clear" w:color="auto" w:fill="FFFFFF"/>
        </w:rPr>
      </w:pPr>
      <w:r>
        <w:rPr>
          <w:rStyle w:val="normaltextrun"/>
          <w:rFonts w:cs="Arial"/>
          <w:color w:val="000000"/>
          <w:szCs w:val="22"/>
          <w:shd w:val="clear" w:color="auto" w:fill="FFFFFF"/>
        </w:rPr>
        <w:t>2.2.4</w:t>
      </w:r>
      <w:r>
        <w:rPr>
          <w:rStyle w:val="normaltextrun"/>
          <w:rFonts w:cs="Arial"/>
          <w:color w:val="000000"/>
          <w:szCs w:val="22"/>
          <w:shd w:val="clear" w:color="auto" w:fill="FFFFFF"/>
        </w:rPr>
        <w:tab/>
        <w:t>The Tenancy Management Team received 0.7% of complaints when compared to 5641 managed homes as a landlord.</w:t>
      </w:r>
    </w:p>
    <w:p w14:paraId="58B305CC" w14:textId="77777777" w:rsidR="00C62485" w:rsidRDefault="00C62485" w:rsidP="00C62485">
      <w:pPr>
        <w:pStyle w:val="GBCReportBodyText"/>
        <w:numPr>
          <w:ilvl w:val="0"/>
          <w:numId w:val="0"/>
        </w:numPr>
        <w:ind w:left="2160" w:hanging="1080"/>
        <w:rPr>
          <w:rStyle w:val="normaltextrun"/>
          <w:rFonts w:cs="Arial"/>
          <w:color w:val="000000"/>
          <w:szCs w:val="22"/>
          <w:shd w:val="clear" w:color="auto" w:fill="FFFFFF"/>
        </w:rPr>
      </w:pPr>
      <w:r>
        <w:rPr>
          <w:rStyle w:val="normaltextrun"/>
          <w:rFonts w:cs="Arial"/>
          <w:color w:val="000000"/>
          <w:szCs w:val="22"/>
          <w:shd w:val="clear" w:color="auto" w:fill="FFFFFF"/>
        </w:rPr>
        <w:t>2.2.5</w:t>
      </w:r>
      <w:r>
        <w:rPr>
          <w:rStyle w:val="normaltextrun"/>
          <w:rFonts w:cs="Arial"/>
          <w:color w:val="000000"/>
          <w:szCs w:val="22"/>
          <w:shd w:val="clear" w:color="auto" w:fill="FFFFFF"/>
        </w:rPr>
        <w:tab/>
        <w:t>There were 4 enquiries made with the Ombudsman of which 3 cases concluded with two no further action or evidence to suggest there was maladministration.  The other case did determine failings as a landlord and subsequently compensation was offered.</w:t>
      </w:r>
    </w:p>
    <w:p w14:paraId="66F25599" w14:textId="77777777" w:rsidR="00C62485" w:rsidRDefault="00C62485" w:rsidP="00C62485">
      <w:pPr>
        <w:pStyle w:val="GBCReportBodyText"/>
        <w:numPr>
          <w:ilvl w:val="0"/>
          <w:numId w:val="0"/>
        </w:numPr>
        <w:ind w:left="1008" w:hanging="648"/>
        <w:rPr>
          <w:rStyle w:val="normaltextrun"/>
          <w:rFonts w:cs="Arial"/>
          <w:color w:val="000000"/>
          <w:szCs w:val="22"/>
          <w:shd w:val="clear" w:color="auto" w:fill="FFFFFF"/>
        </w:rPr>
      </w:pPr>
      <w:r>
        <w:rPr>
          <w:rStyle w:val="normaltextrun"/>
          <w:rFonts w:cs="Arial"/>
          <w:color w:val="000000"/>
          <w:szCs w:val="22"/>
          <w:shd w:val="clear" w:color="auto" w:fill="FFFFFF"/>
        </w:rPr>
        <w:t>2.3</w:t>
      </w:r>
      <w:r>
        <w:rPr>
          <w:rStyle w:val="normaltextrun"/>
          <w:rFonts w:cs="Arial"/>
          <w:color w:val="000000"/>
          <w:szCs w:val="22"/>
          <w:shd w:val="clear" w:color="auto" w:fill="FFFFFF"/>
        </w:rPr>
        <w:tab/>
        <w:t>Since Sep/Oct 2025, management within Housing have been proving the Cabinet Member for Housing a copy of all complaints received each month so that a random sample can be provided for review.  This has enabled meaningful, impartial f</w:t>
      </w:r>
      <w:r w:rsidRPr="00903FB9">
        <w:rPr>
          <w:rStyle w:val="normaltextrun"/>
          <w:rFonts w:cs="Arial"/>
          <w:color w:val="000000"/>
          <w:szCs w:val="22"/>
          <w:shd w:val="clear" w:color="auto" w:fill="FFFFFF"/>
        </w:rPr>
        <w:t>eedback whilst also ensuring that any risk</w:t>
      </w:r>
      <w:r>
        <w:rPr>
          <w:rStyle w:val="normaltextrun"/>
          <w:rFonts w:cs="Arial"/>
          <w:color w:val="000000"/>
          <w:szCs w:val="22"/>
          <w:shd w:val="clear" w:color="auto" w:fill="FFFFFF"/>
        </w:rPr>
        <w:t xml:space="preserve">s are </w:t>
      </w:r>
      <w:r w:rsidRPr="00903FB9">
        <w:rPr>
          <w:rStyle w:val="normaltextrun"/>
          <w:rFonts w:cs="Arial"/>
          <w:color w:val="000000"/>
          <w:szCs w:val="22"/>
          <w:shd w:val="clear" w:color="auto" w:fill="FFFFFF"/>
        </w:rPr>
        <w:t xml:space="preserve">identified and mitigated, and any learning opportunities are </w:t>
      </w:r>
      <w:r>
        <w:rPr>
          <w:rStyle w:val="normaltextrun"/>
          <w:rFonts w:cs="Arial"/>
          <w:color w:val="000000"/>
          <w:szCs w:val="22"/>
          <w:shd w:val="clear" w:color="auto" w:fill="FFFFFF"/>
        </w:rPr>
        <w:t xml:space="preserve">highlighted.  </w:t>
      </w:r>
    </w:p>
    <w:p w14:paraId="79CABD66" w14:textId="77777777" w:rsidR="00C62485" w:rsidRPr="00903FB9" w:rsidRDefault="00C62485" w:rsidP="00C62485">
      <w:pPr>
        <w:pStyle w:val="GBCReportBodyText"/>
        <w:numPr>
          <w:ilvl w:val="0"/>
          <w:numId w:val="0"/>
        </w:numPr>
        <w:rPr>
          <w:rStyle w:val="normaltextrun"/>
          <w:rFonts w:cs="Arial"/>
          <w:b/>
          <w:bCs/>
          <w:color w:val="000000"/>
          <w:szCs w:val="22"/>
          <w:shd w:val="clear" w:color="auto" w:fill="FFFFFF"/>
        </w:rPr>
      </w:pPr>
      <w:r w:rsidRPr="00903FB9">
        <w:rPr>
          <w:rStyle w:val="normaltextrun"/>
          <w:rFonts w:cs="Arial"/>
          <w:b/>
          <w:bCs/>
          <w:color w:val="000000"/>
          <w:szCs w:val="22"/>
          <w:shd w:val="clear" w:color="auto" w:fill="FFFFFF"/>
        </w:rPr>
        <w:t>3. Conclusion</w:t>
      </w:r>
    </w:p>
    <w:p w14:paraId="71D0E4B1" w14:textId="77777777" w:rsidR="00C62485" w:rsidRDefault="00C62485" w:rsidP="00C62485">
      <w:pPr>
        <w:pStyle w:val="GBCReportBodyText"/>
        <w:numPr>
          <w:ilvl w:val="0"/>
          <w:numId w:val="0"/>
        </w:numPr>
        <w:ind w:left="1008" w:hanging="648"/>
        <w:rPr>
          <w:rStyle w:val="normaltextrun"/>
          <w:rFonts w:cs="Arial"/>
          <w:color w:val="000000"/>
          <w:szCs w:val="22"/>
          <w:shd w:val="clear" w:color="auto" w:fill="FFFFFF"/>
        </w:rPr>
      </w:pPr>
      <w:r>
        <w:rPr>
          <w:rStyle w:val="normaltextrun"/>
          <w:rFonts w:cs="Arial"/>
          <w:color w:val="000000"/>
          <w:szCs w:val="22"/>
          <w:shd w:val="clear" w:color="auto" w:fill="FFFFFF"/>
        </w:rPr>
        <w:t>3.1</w:t>
      </w:r>
      <w:r>
        <w:rPr>
          <w:rStyle w:val="normaltextrun"/>
          <w:rFonts w:cs="Arial"/>
          <w:color w:val="000000"/>
          <w:szCs w:val="22"/>
          <w:shd w:val="clear" w:color="auto" w:fill="FFFFFF"/>
        </w:rPr>
        <w:tab/>
        <w:t xml:space="preserve">There remains a high level of complaints through lack of communication and staff conduct which management will be focussing on over the next 12 months to ensure that as a landlord we are effectively communicating in a timely manner and providing the best possible professional landlord service to our tenants. </w:t>
      </w:r>
    </w:p>
    <w:p w14:paraId="75E25734" w14:textId="77777777" w:rsidR="00C62485" w:rsidRPr="00903FB9" w:rsidRDefault="00C62485" w:rsidP="00C62485">
      <w:pPr>
        <w:pStyle w:val="GBCReportBodyText"/>
        <w:numPr>
          <w:ilvl w:val="0"/>
          <w:numId w:val="0"/>
        </w:numPr>
        <w:ind w:left="1008" w:hanging="648"/>
        <w:rPr>
          <w:rStyle w:val="normaltextrun"/>
          <w:rFonts w:cs="Arial"/>
          <w:color w:val="000000"/>
          <w:szCs w:val="22"/>
          <w:shd w:val="clear" w:color="auto" w:fill="FFFFFF"/>
        </w:rPr>
      </w:pPr>
      <w:r>
        <w:rPr>
          <w:rStyle w:val="normaltextrun"/>
          <w:rFonts w:cs="Arial"/>
          <w:color w:val="000000"/>
          <w:szCs w:val="22"/>
          <w:shd w:val="clear" w:color="auto" w:fill="FFFFFF"/>
        </w:rPr>
        <w:t>3.2</w:t>
      </w:r>
      <w:r>
        <w:rPr>
          <w:rStyle w:val="normaltextrun"/>
          <w:rFonts w:cs="Arial"/>
          <w:color w:val="000000"/>
          <w:szCs w:val="22"/>
          <w:shd w:val="clear" w:color="auto" w:fill="FFFFFF"/>
        </w:rPr>
        <w:tab/>
        <w:t xml:space="preserve">In addition, there are </w:t>
      </w:r>
      <w:r w:rsidRPr="00903FB9">
        <w:rPr>
          <w:rStyle w:val="normaltextrun"/>
          <w:rFonts w:cs="Arial"/>
          <w:color w:val="000000"/>
          <w:szCs w:val="22"/>
          <w:shd w:val="clear" w:color="auto" w:fill="FFFFFF"/>
        </w:rPr>
        <w:t>several operational improvements that can be made to improve the service.  These include:</w:t>
      </w:r>
    </w:p>
    <w:p w14:paraId="07385E4E" w14:textId="77777777" w:rsidR="00C62485" w:rsidRDefault="00C62485" w:rsidP="00C62485">
      <w:pPr>
        <w:pStyle w:val="GBCReportBodyText"/>
        <w:numPr>
          <w:ilvl w:val="0"/>
          <w:numId w:val="0"/>
        </w:numPr>
        <w:ind w:left="2160" w:hanging="1152"/>
        <w:rPr>
          <w:rStyle w:val="normaltextrun"/>
          <w:rFonts w:cs="Arial"/>
          <w:color w:val="000000"/>
          <w:szCs w:val="22"/>
          <w:shd w:val="clear" w:color="auto" w:fill="FFFFFF"/>
        </w:rPr>
      </w:pPr>
      <w:r>
        <w:rPr>
          <w:rStyle w:val="normaltextrun"/>
          <w:rFonts w:cs="Arial"/>
          <w:color w:val="000000"/>
          <w:szCs w:val="22"/>
          <w:shd w:val="clear" w:color="auto" w:fill="FFFFFF"/>
        </w:rPr>
        <w:t>3.3.1</w:t>
      </w:r>
      <w:r>
        <w:rPr>
          <w:rStyle w:val="normaltextrun"/>
          <w:rFonts w:cs="Arial"/>
          <w:color w:val="000000"/>
          <w:szCs w:val="22"/>
          <w:shd w:val="clear" w:color="auto" w:fill="FFFFFF"/>
        </w:rPr>
        <w:tab/>
      </w:r>
      <w:r w:rsidRPr="00903FB9">
        <w:rPr>
          <w:rStyle w:val="normaltextrun"/>
          <w:rFonts w:cs="Arial"/>
          <w:color w:val="000000"/>
          <w:szCs w:val="22"/>
          <w:shd w:val="clear" w:color="auto" w:fill="FFFFFF"/>
        </w:rPr>
        <w:t>Improved customer service to our tenants to ensure that</w:t>
      </w:r>
      <w:r>
        <w:rPr>
          <w:rStyle w:val="normaltextrun"/>
          <w:rFonts w:cs="Arial"/>
          <w:color w:val="000000"/>
          <w:szCs w:val="22"/>
          <w:shd w:val="clear" w:color="auto" w:fill="FFFFFF"/>
        </w:rPr>
        <w:t xml:space="preserve"> communication is </w:t>
      </w:r>
      <w:r w:rsidRPr="00903FB9">
        <w:rPr>
          <w:rStyle w:val="normaltextrun"/>
          <w:rFonts w:cs="Arial"/>
          <w:color w:val="000000"/>
          <w:szCs w:val="22"/>
          <w:shd w:val="clear" w:color="auto" w:fill="FFFFFF"/>
        </w:rPr>
        <w:t xml:space="preserve">effective and </w:t>
      </w:r>
      <w:r>
        <w:rPr>
          <w:rStyle w:val="normaltextrun"/>
          <w:rFonts w:cs="Arial"/>
          <w:color w:val="000000"/>
          <w:szCs w:val="22"/>
          <w:shd w:val="clear" w:color="auto" w:fill="FFFFFF"/>
        </w:rPr>
        <w:t>positive</w:t>
      </w:r>
      <w:r w:rsidRPr="00903FB9">
        <w:rPr>
          <w:rStyle w:val="normaltextrun"/>
          <w:rFonts w:cs="Arial"/>
          <w:color w:val="000000"/>
          <w:szCs w:val="22"/>
          <w:shd w:val="clear" w:color="auto" w:fill="FFFFFF"/>
        </w:rPr>
        <w:t xml:space="preserve">.  </w:t>
      </w:r>
    </w:p>
    <w:p w14:paraId="188685EB" w14:textId="77777777" w:rsidR="00C62485" w:rsidRDefault="00C62485" w:rsidP="00C62485">
      <w:pPr>
        <w:pStyle w:val="GBCReportBodyText"/>
        <w:numPr>
          <w:ilvl w:val="0"/>
          <w:numId w:val="0"/>
        </w:numPr>
        <w:ind w:left="2160" w:hanging="1152"/>
        <w:rPr>
          <w:rStyle w:val="normaltextrun"/>
          <w:rFonts w:cs="Arial"/>
          <w:color w:val="000000"/>
          <w:szCs w:val="22"/>
          <w:shd w:val="clear" w:color="auto" w:fill="FFFFFF"/>
        </w:rPr>
      </w:pPr>
      <w:r>
        <w:rPr>
          <w:rStyle w:val="normaltextrun"/>
          <w:rFonts w:cs="Arial"/>
          <w:color w:val="000000"/>
          <w:szCs w:val="22"/>
          <w:shd w:val="clear" w:color="auto" w:fill="FFFFFF"/>
        </w:rPr>
        <w:t>3.3.2</w:t>
      </w:r>
      <w:r>
        <w:rPr>
          <w:rStyle w:val="normaltextrun"/>
          <w:rFonts w:cs="Arial"/>
          <w:color w:val="000000"/>
          <w:szCs w:val="22"/>
          <w:shd w:val="clear" w:color="auto" w:fill="FFFFFF"/>
        </w:rPr>
        <w:tab/>
      </w:r>
      <w:r w:rsidRPr="00903FB9">
        <w:rPr>
          <w:rStyle w:val="normaltextrun"/>
          <w:rFonts w:cs="Arial"/>
          <w:color w:val="000000"/>
          <w:szCs w:val="22"/>
          <w:shd w:val="clear" w:color="auto" w:fill="FFFFFF"/>
        </w:rPr>
        <w:t xml:space="preserve">Improved communication between tenants and landlord – The Housing Management and Repairs &amp; Asset Service have increased tenant engagement and communication platforms therefore there is scope to increase this further.  </w:t>
      </w:r>
    </w:p>
    <w:p w14:paraId="7BCC48F5" w14:textId="0B1C1EC4" w:rsidR="00C62485" w:rsidRDefault="00C62485" w:rsidP="00C62485">
      <w:pPr>
        <w:pStyle w:val="GBCReportBodyText"/>
        <w:numPr>
          <w:ilvl w:val="0"/>
          <w:numId w:val="0"/>
        </w:numPr>
        <w:ind w:left="2160" w:hanging="1152"/>
        <w:rPr>
          <w:rStyle w:val="normaltextrun"/>
          <w:rFonts w:cs="Arial"/>
          <w:color w:val="000000"/>
          <w:szCs w:val="22"/>
          <w:shd w:val="clear" w:color="auto" w:fill="FFFFFF"/>
        </w:rPr>
      </w:pPr>
      <w:r>
        <w:rPr>
          <w:rStyle w:val="normaltextrun"/>
          <w:rFonts w:cs="Arial"/>
          <w:color w:val="000000"/>
          <w:szCs w:val="22"/>
          <w:shd w:val="clear" w:color="auto" w:fill="FFFFFF"/>
        </w:rPr>
        <w:t>3.3.3</w:t>
      </w:r>
      <w:r>
        <w:rPr>
          <w:rStyle w:val="normaltextrun"/>
          <w:rFonts w:cs="Arial"/>
          <w:color w:val="000000"/>
          <w:szCs w:val="22"/>
          <w:shd w:val="clear" w:color="auto" w:fill="FFFFFF"/>
        </w:rPr>
        <w:tab/>
      </w:r>
      <w:r w:rsidRPr="00903FB9">
        <w:rPr>
          <w:rStyle w:val="normaltextrun"/>
          <w:rFonts w:cs="Arial"/>
          <w:color w:val="000000"/>
          <w:szCs w:val="22"/>
          <w:shd w:val="clear" w:color="auto" w:fill="FFFFFF"/>
        </w:rPr>
        <w:t>Review the telephone system – Within the 2023/24 report it was reported that officers would consider capabilities of the Ring Central system, and this has been utilised throughout 2024</w:t>
      </w:r>
      <w:r>
        <w:rPr>
          <w:rStyle w:val="normaltextrun"/>
          <w:rFonts w:cs="Arial"/>
          <w:color w:val="000000"/>
          <w:szCs w:val="22"/>
          <w:shd w:val="clear" w:color="auto" w:fill="FFFFFF"/>
        </w:rPr>
        <w:t>/</w:t>
      </w:r>
      <w:r w:rsidRPr="00903FB9">
        <w:rPr>
          <w:rStyle w:val="normaltextrun"/>
          <w:rFonts w:cs="Arial"/>
          <w:color w:val="000000"/>
          <w:szCs w:val="22"/>
          <w:shd w:val="clear" w:color="auto" w:fill="FFFFFF"/>
        </w:rPr>
        <w:t xml:space="preserve">25 to listen, review and used for training and quality purposes.  Officers will be considering phone call options moving forward to include the options </w:t>
      </w:r>
      <w:r w:rsidRPr="00903FB9">
        <w:rPr>
          <w:rStyle w:val="normaltextrun"/>
          <w:rFonts w:cs="Arial"/>
          <w:color w:val="000000"/>
          <w:szCs w:val="22"/>
          <w:shd w:val="clear" w:color="auto" w:fill="FFFFFF"/>
        </w:rPr>
        <w:lastRenderedPageBreak/>
        <w:t xml:space="preserve">of setting up a central place for all calls to be triaged to increase the level of service provided. </w:t>
      </w:r>
    </w:p>
    <w:p w14:paraId="6717CEDF" w14:textId="77777777" w:rsidR="00C62485" w:rsidRDefault="00C62485" w:rsidP="00C62485">
      <w:pPr>
        <w:pStyle w:val="GBCReportBodyText"/>
        <w:numPr>
          <w:ilvl w:val="0"/>
          <w:numId w:val="0"/>
        </w:numPr>
        <w:ind w:left="2160" w:hanging="1152"/>
        <w:rPr>
          <w:rStyle w:val="normaltextrun"/>
          <w:rFonts w:cs="Arial"/>
          <w:color w:val="000000"/>
          <w:szCs w:val="22"/>
          <w:shd w:val="clear" w:color="auto" w:fill="FFFFFF"/>
        </w:rPr>
      </w:pPr>
      <w:r>
        <w:rPr>
          <w:rStyle w:val="normaltextrun"/>
          <w:rFonts w:cs="Arial"/>
          <w:color w:val="000000"/>
          <w:szCs w:val="22"/>
          <w:shd w:val="clear" w:color="auto" w:fill="FFFFFF"/>
        </w:rPr>
        <w:t>3.3.4</w:t>
      </w:r>
      <w:r>
        <w:rPr>
          <w:rStyle w:val="normaltextrun"/>
          <w:rFonts w:cs="Arial"/>
          <w:color w:val="000000"/>
          <w:szCs w:val="22"/>
          <w:shd w:val="clear" w:color="auto" w:fill="FFFFFF"/>
        </w:rPr>
        <w:tab/>
      </w:r>
      <w:r w:rsidRPr="00903FB9">
        <w:rPr>
          <w:rStyle w:val="normaltextrun"/>
          <w:rFonts w:cs="Arial"/>
          <w:color w:val="000000"/>
          <w:szCs w:val="22"/>
          <w:shd w:val="clear" w:color="auto" w:fill="FFFFFF"/>
        </w:rPr>
        <w:t>Improved and user-friendly Tenant Handbooks to ensure the responsibility or landlord and tenant is clear.</w:t>
      </w:r>
    </w:p>
    <w:p w14:paraId="17682232" w14:textId="77777777" w:rsidR="00C62485" w:rsidRPr="009E54A6" w:rsidRDefault="00C62485" w:rsidP="00C62485">
      <w:pPr>
        <w:pStyle w:val="GBCReportBodyText"/>
        <w:numPr>
          <w:ilvl w:val="0"/>
          <w:numId w:val="0"/>
        </w:numPr>
        <w:ind w:left="1008" w:hanging="648"/>
      </w:pPr>
      <w:r>
        <w:t>3.3</w:t>
      </w:r>
      <w:r>
        <w:tab/>
        <w:t xml:space="preserve">As the Tenant Involvement Panel becomes more established, there will be scope to present random anonymised complaints to the panel and share existing policies for scrutiny. </w:t>
      </w:r>
    </w:p>
    <w:tbl>
      <w:tblPr>
        <w:tblW w:w="9314" w:type="dxa"/>
        <w:tblInd w:w="-72" w:type="dxa"/>
        <w:tblLayout w:type="fixed"/>
        <w:tblLook w:val="0000" w:firstRow="0" w:lastRow="0" w:firstColumn="0" w:lastColumn="0" w:noHBand="0" w:noVBand="0"/>
      </w:tblPr>
      <w:tblGrid>
        <w:gridCol w:w="923"/>
        <w:gridCol w:w="709"/>
        <w:gridCol w:w="7682"/>
      </w:tblGrid>
      <w:tr w:rsidR="00C62485" w14:paraId="3D14C5BB" w14:textId="77777777" w:rsidTr="007A7339">
        <w:tc>
          <w:tcPr>
            <w:tcW w:w="1632" w:type="dxa"/>
            <w:gridSpan w:val="2"/>
          </w:tcPr>
          <w:p w14:paraId="10F4A232" w14:textId="50D4EAD1" w:rsidR="00C62485" w:rsidRPr="00165C0A" w:rsidRDefault="00C62485" w:rsidP="007A7339">
            <w:pPr>
              <w:spacing w:after="240"/>
              <w:rPr>
                <w:b/>
                <w:szCs w:val="22"/>
              </w:rPr>
            </w:pPr>
            <w:r w:rsidRPr="00165C0A">
              <w:rPr>
                <w:b/>
                <w:szCs w:val="22"/>
              </w:rPr>
              <w:t>Lea</w:t>
            </w:r>
            <w:r>
              <w:rPr>
                <w:b/>
                <w:szCs w:val="22"/>
              </w:rPr>
              <w:t>d</w:t>
            </w:r>
            <w:r w:rsidRPr="00165C0A">
              <w:rPr>
                <w:b/>
                <w:szCs w:val="22"/>
              </w:rPr>
              <w:t xml:space="preserve"> Officer: </w:t>
            </w:r>
          </w:p>
        </w:tc>
        <w:tc>
          <w:tcPr>
            <w:tcW w:w="7682" w:type="dxa"/>
          </w:tcPr>
          <w:p w14:paraId="13FF1D53" w14:textId="77777777" w:rsidR="00C62485" w:rsidRPr="00DE62E8" w:rsidRDefault="00C62485" w:rsidP="007A7339">
            <w:pPr>
              <w:spacing w:after="240"/>
              <w:rPr>
                <w:b/>
                <w:sz w:val="24"/>
                <w:szCs w:val="24"/>
              </w:rPr>
            </w:pPr>
            <w:r>
              <w:rPr>
                <w:szCs w:val="22"/>
              </w:rPr>
              <w:t>Vicky May, Assistant Director</w:t>
            </w:r>
          </w:p>
        </w:tc>
      </w:tr>
      <w:tr w:rsidR="00C62485" w14:paraId="540256AC" w14:textId="77777777" w:rsidTr="007A7339">
        <w:tc>
          <w:tcPr>
            <w:tcW w:w="923" w:type="dxa"/>
          </w:tcPr>
          <w:p w14:paraId="60F262D6" w14:textId="77777777" w:rsidR="00C62485" w:rsidRPr="00165C0A" w:rsidRDefault="00C62485" w:rsidP="007A7339">
            <w:pPr>
              <w:spacing w:after="240"/>
              <w:rPr>
                <w:szCs w:val="22"/>
              </w:rPr>
            </w:pPr>
            <w:r w:rsidRPr="00165C0A">
              <w:rPr>
                <w:b/>
                <w:szCs w:val="22"/>
              </w:rPr>
              <w:t xml:space="preserve">Email: </w:t>
            </w:r>
          </w:p>
        </w:tc>
        <w:tc>
          <w:tcPr>
            <w:tcW w:w="8391" w:type="dxa"/>
            <w:gridSpan w:val="2"/>
          </w:tcPr>
          <w:p w14:paraId="4DC685A8" w14:textId="77777777" w:rsidR="00C62485" w:rsidRPr="00A14343" w:rsidRDefault="00000000" w:rsidP="007A7339">
            <w:pPr>
              <w:spacing w:after="240"/>
              <w:rPr>
                <w:szCs w:val="22"/>
              </w:rPr>
            </w:pPr>
            <w:hyperlink r:id="rId9" w:history="1">
              <w:r w:rsidR="00C62485" w:rsidRPr="00C91BB7">
                <w:rPr>
                  <w:rStyle w:val="Hyperlink"/>
                  <w:szCs w:val="22"/>
                </w:rPr>
                <w:t>vicky.may@gravesham.gov.uk</w:t>
              </w:r>
            </w:hyperlink>
          </w:p>
        </w:tc>
      </w:tr>
    </w:tbl>
    <w:p w14:paraId="184DB526" w14:textId="77777777" w:rsidR="00332166" w:rsidRDefault="00332166" w:rsidP="004849D2">
      <w:pPr>
        <w:pStyle w:val="NoSpacing"/>
        <w:rPr>
          <w:rFonts w:ascii="Arial" w:hAnsi="Arial" w:cs="Arial"/>
        </w:rPr>
      </w:pPr>
    </w:p>
    <w:p w14:paraId="782B24C7" w14:textId="77777777" w:rsidR="00934B4C" w:rsidRPr="004849D2" w:rsidRDefault="00735096" w:rsidP="004849D2">
      <w:pPr>
        <w:rPr>
          <w:rFonts w:cs="Arial"/>
          <w:i/>
          <w:iCs/>
          <w:szCs w:val="22"/>
          <w:lang w:eastAsia="en-US"/>
        </w:rPr>
      </w:pPr>
      <w:r>
        <w:rPr>
          <w:rFonts w:cs="Arial"/>
        </w:rPr>
        <w:br w:type="page"/>
      </w:r>
    </w:p>
    <w:tbl>
      <w:tblPr>
        <w:tblW w:w="1080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7953"/>
      </w:tblGrid>
      <w:tr w:rsidR="00934B4C" w:rsidRPr="004849D2" w14:paraId="65307DBD" w14:textId="77777777" w:rsidTr="00934B4C">
        <w:trPr>
          <w:trHeight w:val="254"/>
        </w:trPr>
        <w:tc>
          <w:tcPr>
            <w:tcW w:w="10808" w:type="dxa"/>
            <w:gridSpan w:val="2"/>
            <w:tcBorders>
              <w:top w:val="single" w:sz="12" w:space="0" w:color="000000"/>
              <w:left w:val="single" w:sz="12" w:space="0" w:color="000000"/>
              <w:bottom w:val="nil"/>
              <w:right w:val="single" w:sz="12" w:space="0" w:color="000000"/>
            </w:tcBorders>
            <w:shd w:val="clear" w:color="auto" w:fill="D9D9D9" w:themeFill="background1" w:themeFillShade="D9"/>
          </w:tcPr>
          <w:p w14:paraId="2A2EEC6B" w14:textId="77777777" w:rsidR="00934B4C" w:rsidRPr="00934B4C" w:rsidRDefault="00934B4C" w:rsidP="004849D2">
            <w:pPr>
              <w:pStyle w:val="GBCReportBodyHeading"/>
              <w:keepNext w:val="0"/>
              <w:numPr>
                <w:ilvl w:val="0"/>
                <w:numId w:val="0"/>
              </w:numPr>
              <w:tabs>
                <w:tab w:val="left" w:pos="8505"/>
              </w:tabs>
              <w:spacing w:after="120"/>
              <w:rPr>
                <w:sz w:val="24"/>
                <w:szCs w:val="24"/>
                <w:shd w:val="clear" w:color="auto" w:fill="D9D9D9" w:themeFill="background1" w:themeFillShade="D9"/>
              </w:rPr>
            </w:pPr>
            <w:bookmarkStart w:id="1" w:name="_Hlk174435219"/>
            <w:r w:rsidRPr="003C50C4">
              <w:rPr>
                <w:sz w:val="24"/>
                <w:szCs w:val="24"/>
                <w:shd w:val="clear" w:color="auto" w:fill="D9D9D9" w:themeFill="background1" w:themeFillShade="D9"/>
              </w:rPr>
              <w:lastRenderedPageBreak/>
              <w:t>Secondary Implications</w:t>
            </w:r>
            <w:r w:rsidRPr="00934B4C">
              <w:rPr>
                <w:sz w:val="24"/>
                <w:szCs w:val="24"/>
                <w:shd w:val="clear" w:color="auto" w:fill="D9D9D9" w:themeFill="background1" w:themeFillShade="D9"/>
              </w:rPr>
              <w:tab/>
            </w:r>
          </w:p>
        </w:tc>
      </w:tr>
      <w:tr w:rsidR="00934B4C" w:rsidRPr="004849D2" w14:paraId="65DD8CBC" w14:textId="77777777" w:rsidTr="00EE1ED1">
        <w:trPr>
          <w:trHeight w:val="703"/>
        </w:trPr>
        <w:tc>
          <w:tcPr>
            <w:tcW w:w="2855" w:type="dxa"/>
            <w:tcBorders>
              <w:left w:val="single" w:sz="12" w:space="0" w:color="000000"/>
              <w:bottom w:val="single" w:sz="12" w:space="0" w:color="000000"/>
            </w:tcBorders>
          </w:tcPr>
          <w:p w14:paraId="1054B6B2" w14:textId="77777777" w:rsidR="00934B4C" w:rsidRPr="00697B63" w:rsidRDefault="00934B4C" w:rsidP="004849D2">
            <w:pPr>
              <w:pStyle w:val="GBCReportBodyHeading"/>
              <w:keepNext w:val="0"/>
              <w:numPr>
                <w:ilvl w:val="0"/>
                <w:numId w:val="0"/>
              </w:numPr>
              <w:spacing w:after="120"/>
            </w:pPr>
            <w:r>
              <w:t>Risk Assessment</w:t>
            </w:r>
          </w:p>
        </w:tc>
        <w:tc>
          <w:tcPr>
            <w:tcW w:w="7953" w:type="dxa"/>
            <w:tcBorders>
              <w:bottom w:val="single" w:sz="12" w:space="0" w:color="000000"/>
              <w:right w:val="single" w:sz="12" w:space="0" w:color="000000"/>
            </w:tcBorders>
          </w:tcPr>
          <w:p w14:paraId="78F6ABEF" w14:textId="64B19A5D" w:rsidR="00934B4C" w:rsidRDefault="00934B4C" w:rsidP="004849D2">
            <w:pPr>
              <w:spacing w:after="120"/>
              <w:rPr>
                <w:szCs w:val="22"/>
              </w:rPr>
            </w:pPr>
            <w:r>
              <w:rPr>
                <w:szCs w:val="22"/>
              </w:rPr>
              <w:t>What are the risks associated with the content of this report?</w:t>
            </w:r>
            <w:r w:rsidR="00C62485">
              <w:rPr>
                <w:szCs w:val="22"/>
              </w:rPr>
              <w:t xml:space="preserve"> N/a</w:t>
            </w:r>
          </w:p>
          <w:p w14:paraId="2A2EF0ED" w14:textId="77777777" w:rsidR="00934B4C" w:rsidRPr="00261795" w:rsidRDefault="00934B4C" w:rsidP="004849D2">
            <w:pPr>
              <w:spacing w:after="120"/>
              <w:rPr>
                <w:b/>
                <w:szCs w:val="22"/>
              </w:rPr>
            </w:pPr>
          </w:p>
        </w:tc>
      </w:tr>
      <w:tr w:rsidR="00934B4C" w:rsidRPr="004849D2" w14:paraId="3A46299A" w14:textId="77777777" w:rsidTr="00EE1ED1">
        <w:trPr>
          <w:trHeight w:val="780"/>
        </w:trPr>
        <w:tc>
          <w:tcPr>
            <w:tcW w:w="2855" w:type="dxa"/>
            <w:vMerge w:val="restart"/>
            <w:tcBorders>
              <w:top w:val="single" w:sz="12" w:space="0" w:color="000000"/>
              <w:left w:val="single" w:sz="12" w:space="0" w:color="000000"/>
              <w:right w:val="single" w:sz="4" w:space="0" w:color="000000"/>
            </w:tcBorders>
          </w:tcPr>
          <w:p w14:paraId="7F6D03ED" w14:textId="77777777" w:rsidR="00934B4C" w:rsidRDefault="00934B4C" w:rsidP="004849D2">
            <w:pPr>
              <w:pStyle w:val="GBCReportBodyHeading"/>
              <w:keepNext w:val="0"/>
              <w:numPr>
                <w:ilvl w:val="0"/>
                <w:numId w:val="0"/>
              </w:numPr>
              <w:spacing w:after="120"/>
            </w:pPr>
            <w:r>
              <w:t>Data Protection Impact Assessment</w:t>
            </w:r>
          </w:p>
          <w:p w14:paraId="143C9010" w14:textId="77777777" w:rsidR="00934B4C" w:rsidRDefault="00934B4C" w:rsidP="004849D2">
            <w:pPr>
              <w:spacing w:after="120"/>
            </w:pPr>
          </w:p>
        </w:tc>
        <w:tc>
          <w:tcPr>
            <w:tcW w:w="7953" w:type="dxa"/>
            <w:tcBorders>
              <w:top w:val="single" w:sz="12" w:space="0" w:color="000000"/>
              <w:left w:val="single" w:sz="4" w:space="0" w:color="000000"/>
              <w:bottom w:val="single" w:sz="4" w:space="0" w:color="000000"/>
              <w:right w:val="single" w:sz="12" w:space="0" w:color="000000"/>
            </w:tcBorders>
          </w:tcPr>
          <w:p w14:paraId="726F7E1E" w14:textId="77777777" w:rsidR="00934B4C" w:rsidRPr="00757D8E" w:rsidRDefault="00934B4C" w:rsidP="004849D2">
            <w:pPr>
              <w:spacing w:after="120"/>
              <w:rPr>
                <w:rFonts w:cs="Arial"/>
                <w:b/>
                <w:i/>
              </w:rPr>
            </w:pPr>
            <w:r w:rsidRPr="00757D8E">
              <w:rPr>
                <w:rFonts w:cs="Arial"/>
                <w:i/>
              </w:rPr>
              <w:t xml:space="preserve">A data protection impact assessment </w:t>
            </w:r>
            <w:r>
              <w:rPr>
                <w:rFonts w:cs="Arial"/>
                <w:i/>
              </w:rPr>
              <w:t xml:space="preserve">(DPIA) </w:t>
            </w:r>
            <w:r w:rsidRPr="00757D8E">
              <w:rPr>
                <w:rFonts w:cs="Arial"/>
                <w:i/>
              </w:rPr>
              <w:t xml:space="preserve">should be carried out </w:t>
            </w:r>
            <w:r w:rsidRPr="00757D8E">
              <w:rPr>
                <w:rFonts w:cs="Arial"/>
                <w:i/>
                <w:lang w:val="en-US"/>
              </w:rPr>
              <w:t>at the start of any major project involving the use of per</w:t>
            </w:r>
            <w:r>
              <w:rPr>
                <w:rFonts w:cs="Arial"/>
                <w:i/>
                <w:lang w:val="en-US"/>
              </w:rPr>
              <w:t>sonal data</w:t>
            </w:r>
            <w:r w:rsidRPr="00757D8E">
              <w:rPr>
                <w:rFonts w:cs="Arial"/>
                <w:i/>
                <w:lang w:val="en-US"/>
              </w:rPr>
              <w:t xml:space="preserve"> or if you are making a significant change to an existing process. </w:t>
            </w:r>
          </w:p>
        </w:tc>
      </w:tr>
      <w:tr w:rsidR="00934B4C" w:rsidRPr="004849D2" w14:paraId="323DFB48" w14:textId="77777777" w:rsidTr="00EE1ED1">
        <w:trPr>
          <w:trHeight w:val="1147"/>
        </w:trPr>
        <w:tc>
          <w:tcPr>
            <w:tcW w:w="2855" w:type="dxa"/>
            <w:vMerge/>
            <w:tcBorders>
              <w:left w:val="single" w:sz="12" w:space="0" w:color="000000"/>
              <w:right w:val="single" w:sz="4" w:space="0" w:color="000000"/>
            </w:tcBorders>
          </w:tcPr>
          <w:p w14:paraId="30B6D795" w14:textId="77777777" w:rsidR="00934B4C" w:rsidRPr="00736EAA" w:rsidRDefault="00934B4C" w:rsidP="004849D2">
            <w:pPr>
              <w:spacing w:after="120"/>
            </w:pPr>
          </w:p>
        </w:tc>
        <w:tc>
          <w:tcPr>
            <w:tcW w:w="7953" w:type="dxa"/>
            <w:tcBorders>
              <w:top w:val="single" w:sz="4" w:space="0" w:color="000000"/>
              <w:left w:val="single" w:sz="4" w:space="0" w:color="000000"/>
              <w:bottom w:val="single" w:sz="4" w:space="0" w:color="000000"/>
              <w:right w:val="single" w:sz="12" w:space="0" w:color="000000"/>
            </w:tcBorders>
          </w:tcPr>
          <w:p w14:paraId="71793269" w14:textId="77777777" w:rsidR="00934B4C" w:rsidRDefault="00934B4C" w:rsidP="004849D2">
            <w:pPr>
              <w:pStyle w:val="GBCReportBodyHeading"/>
              <w:numPr>
                <w:ilvl w:val="0"/>
                <w:numId w:val="0"/>
              </w:numPr>
              <w:spacing w:after="120"/>
              <w:rPr>
                <w:b w:val="0"/>
              </w:rPr>
            </w:pPr>
            <w:r>
              <w:rPr>
                <w:b w:val="0"/>
              </w:rPr>
              <w:t>Does</w:t>
            </w:r>
            <w:r w:rsidRPr="005F30B2">
              <w:rPr>
                <w:b w:val="0"/>
              </w:rPr>
              <w:t xml:space="preserve"> the </w:t>
            </w:r>
            <w:r>
              <w:rPr>
                <w:b w:val="0"/>
              </w:rPr>
              <w:t>project/change being</w:t>
            </w:r>
            <w:r w:rsidRPr="005F30B2">
              <w:rPr>
                <w:b w:val="0"/>
              </w:rPr>
              <w:t xml:space="preserve"> recommended through this paper </w:t>
            </w:r>
            <w:r>
              <w:rPr>
                <w:b w:val="0"/>
              </w:rPr>
              <w:t xml:space="preserve">involve the processing of </w:t>
            </w:r>
            <w:hyperlink r:id="rId10" w:history="1">
              <w:r w:rsidRPr="00D74D13">
                <w:rPr>
                  <w:rStyle w:val="Hyperlink"/>
                  <w:b w:val="0"/>
                </w:rPr>
                <w:t>personal data</w:t>
              </w:r>
            </w:hyperlink>
            <w:r>
              <w:rPr>
                <w:b w:val="0"/>
              </w:rPr>
              <w:t xml:space="preserve"> or </w:t>
            </w:r>
            <w:hyperlink r:id="rId11" w:history="1">
              <w:r w:rsidRPr="00D74D13">
                <w:rPr>
                  <w:rStyle w:val="Hyperlink"/>
                  <w:b w:val="0"/>
                </w:rPr>
                <w:t>special category data</w:t>
              </w:r>
            </w:hyperlink>
            <w:r>
              <w:rPr>
                <w:b w:val="0"/>
              </w:rPr>
              <w:t xml:space="preserve"> or </w:t>
            </w:r>
            <w:hyperlink r:id="rId12" w:history="1">
              <w:r w:rsidRPr="00D74D13">
                <w:rPr>
                  <w:rStyle w:val="Hyperlink"/>
                  <w:b w:val="0"/>
                </w:rPr>
                <w:t>criminal offence data</w:t>
              </w:r>
            </w:hyperlink>
            <w:r>
              <w:rPr>
                <w:b w:val="0"/>
              </w:rPr>
              <w:t xml:space="preserve">? </w:t>
            </w:r>
          </w:p>
          <w:p w14:paraId="518FEAB1" w14:textId="5D821A8D" w:rsidR="00934B4C" w:rsidRDefault="00C62485" w:rsidP="004849D2">
            <w:pPr>
              <w:pStyle w:val="GBCReportBodyText"/>
              <w:numPr>
                <w:ilvl w:val="0"/>
                <w:numId w:val="0"/>
              </w:numPr>
              <w:ind w:left="646" w:hanging="646"/>
              <w:rPr>
                <w:szCs w:val="22"/>
              </w:rPr>
            </w:pPr>
            <w:r>
              <w:rPr>
                <w:szCs w:val="22"/>
              </w:rPr>
              <w:t>No</w:t>
            </w:r>
          </w:p>
          <w:p w14:paraId="192B6E95" w14:textId="77777777" w:rsidR="00934B4C" w:rsidRPr="00362AC8" w:rsidRDefault="00934B4C" w:rsidP="004849D2">
            <w:pPr>
              <w:pStyle w:val="GBCReportBodyHeading"/>
              <w:numPr>
                <w:ilvl w:val="0"/>
                <w:numId w:val="0"/>
              </w:numPr>
              <w:spacing w:after="120"/>
              <w:rPr>
                <w:b w:val="0"/>
              </w:rPr>
            </w:pPr>
            <w:r>
              <w:rPr>
                <w:b w:val="0"/>
              </w:rPr>
              <w:t xml:space="preserve">If yes, you should complete a Data Protection Impact Assessment and/or seek advice from the Information Governance Team at </w:t>
            </w:r>
            <w:hyperlink r:id="rId13" w:history="1">
              <w:r w:rsidRPr="00D74D13">
                <w:rPr>
                  <w:rStyle w:val="Hyperlink"/>
                  <w:b w:val="0"/>
                </w:rPr>
                <w:t>gdpr@medway.gov.uk</w:t>
              </w:r>
            </w:hyperlink>
            <w:r>
              <w:rPr>
                <w:b w:val="0"/>
              </w:rPr>
              <w:t>.</w:t>
            </w:r>
          </w:p>
        </w:tc>
      </w:tr>
      <w:tr w:rsidR="00934B4C" w:rsidRPr="004849D2" w14:paraId="22F62786" w14:textId="77777777" w:rsidTr="00EE1ED1">
        <w:tc>
          <w:tcPr>
            <w:tcW w:w="2855" w:type="dxa"/>
            <w:tcBorders>
              <w:top w:val="single" w:sz="12" w:space="0" w:color="000000"/>
              <w:left w:val="single" w:sz="12" w:space="0" w:color="000000"/>
            </w:tcBorders>
          </w:tcPr>
          <w:p w14:paraId="0EDDD8FE" w14:textId="77777777" w:rsidR="00934B4C" w:rsidRDefault="00934B4C" w:rsidP="004849D2">
            <w:pPr>
              <w:pStyle w:val="GBCReportBodyHeading"/>
              <w:keepNext w:val="0"/>
              <w:numPr>
                <w:ilvl w:val="0"/>
                <w:numId w:val="0"/>
              </w:numPr>
              <w:spacing w:after="120"/>
            </w:pPr>
            <w:r>
              <w:t>Equality Impact Assessment</w:t>
            </w:r>
          </w:p>
        </w:tc>
        <w:tc>
          <w:tcPr>
            <w:tcW w:w="7953" w:type="dxa"/>
            <w:tcBorders>
              <w:top w:val="single" w:sz="12" w:space="0" w:color="000000"/>
              <w:right w:val="single" w:sz="12" w:space="0" w:color="000000"/>
            </w:tcBorders>
            <w:shd w:val="clear" w:color="auto" w:fill="auto"/>
          </w:tcPr>
          <w:p w14:paraId="6FDA47F6" w14:textId="77777777" w:rsidR="00934B4C" w:rsidRPr="00BC2285" w:rsidRDefault="00934B4C" w:rsidP="004849D2">
            <w:pPr>
              <w:pStyle w:val="GBCReportBodyHeading"/>
              <w:numPr>
                <w:ilvl w:val="0"/>
                <w:numId w:val="0"/>
              </w:numPr>
              <w:rPr>
                <w:b w:val="0"/>
              </w:rPr>
            </w:pPr>
            <w:r w:rsidRPr="005F30B2">
              <w:rPr>
                <w:b w:val="0"/>
              </w:rPr>
              <w:t xml:space="preserve">Does the </w:t>
            </w:r>
            <w:r>
              <w:rPr>
                <w:b w:val="0"/>
              </w:rPr>
              <w:t xml:space="preserve">content of this paper </w:t>
            </w:r>
            <w:r w:rsidRPr="005F30B2">
              <w:rPr>
                <w:b w:val="0"/>
              </w:rPr>
              <w:t xml:space="preserve">have potential to cause adverse impact or discriminate against </w:t>
            </w:r>
            <w:r>
              <w:rPr>
                <w:b w:val="0"/>
              </w:rPr>
              <w:t>those with a protected characteristic?</w:t>
            </w:r>
          </w:p>
          <w:p w14:paraId="24079158"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Age</w:t>
            </w:r>
          </w:p>
          <w:p w14:paraId="515FA2E0"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Disability</w:t>
            </w:r>
          </w:p>
          <w:p w14:paraId="5CF85745"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Gender reassignment</w:t>
            </w:r>
          </w:p>
          <w:p w14:paraId="3E38E17C"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Marriage and civil partnership</w:t>
            </w:r>
          </w:p>
          <w:p w14:paraId="272F2FB6"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Pregnancy and maternity</w:t>
            </w:r>
          </w:p>
          <w:p w14:paraId="58460E8A"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Race</w:t>
            </w:r>
          </w:p>
          <w:p w14:paraId="12A8B188"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Religion or belief</w:t>
            </w:r>
          </w:p>
          <w:p w14:paraId="6CAF695F"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Sex</w:t>
            </w:r>
          </w:p>
          <w:p w14:paraId="206A5FD8" w14:textId="77777777" w:rsidR="00934B4C" w:rsidRPr="00362AC8" w:rsidRDefault="00934B4C" w:rsidP="004849D2">
            <w:pPr>
              <w:numPr>
                <w:ilvl w:val="0"/>
                <w:numId w:val="19"/>
              </w:numPr>
              <w:spacing w:line="0" w:lineRule="atLeast"/>
              <w:rPr>
                <w:rFonts w:cs="Arial"/>
                <w:color w:val="111111"/>
                <w:szCs w:val="22"/>
              </w:rPr>
            </w:pPr>
            <w:r w:rsidRPr="00362AC8">
              <w:rPr>
                <w:rFonts w:cs="Arial"/>
                <w:color w:val="111111"/>
                <w:szCs w:val="22"/>
              </w:rPr>
              <w:t>Sexual orientation</w:t>
            </w:r>
          </w:p>
          <w:p w14:paraId="2BEB9E89" w14:textId="77777777" w:rsidR="00934B4C" w:rsidRPr="00362AC8" w:rsidRDefault="00934B4C" w:rsidP="004849D2">
            <w:pPr>
              <w:spacing w:line="0" w:lineRule="atLeast"/>
              <w:rPr>
                <w:rFonts w:cs="Arial"/>
                <w:color w:val="111111"/>
                <w:szCs w:val="22"/>
              </w:rPr>
            </w:pPr>
          </w:p>
          <w:p w14:paraId="092DC909" w14:textId="2CA1B03B" w:rsidR="00934B4C" w:rsidRDefault="00C62485" w:rsidP="004849D2">
            <w:pPr>
              <w:pStyle w:val="GBCReportBodyText"/>
              <w:numPr>
                <w:ilvl w:val="0"/>
                <w:numId w:val="0"/>
              </w:numPr>
              <w:spacing w:after="0"/>
              <w:ind w:left="646" w:hanging="646"/>
              <w:rPr>
                <w:szCs w:val="22"/>
              </w:rPr>
            </w:pPr>
            <w:r>
              <w:rPr>
                <w:szCs w:val="22"/>
              </w:rPr>
              <w:t>No</w:t>
            </w:r>
          </w:p>
          <w:p w14:paraId="3C861AE3" w14:textId="77777777" w:rsidR="00934B4C" w:rsidRDefault="00934B4C" w:rsidP="004849D2">
            <w:pPr>
              <w:spacing w:line="330" w:lineRule="atLeast"/>
              <w:rPr>
                <w:rFonts w:cs="Arial"/>
                <w:szCs w:val="22"/>
              </w:rPr>
            </w:pPr>
            <w:r w:rsidRPr="00362AC8">
              <w:rPr>
                <w:rFonts w:cs="Arial"/>
                <w:szCs w:val="22"/>
              </w:rPr>
              <w:t xml:space="preserve">If yes, you need to complete an </w:t>
            </w:r>
            <w:r w:rsidRPr="000375EF">
              <w:rPr>
                <w:rFonts w:cs="Arial"/>
                <w:szCs w:val="22"/>
              </w:rPr>
              <w:t>equality impact assessment</w:t>
            </w:r>
            <w:r w:rsidRPr="00362AC8">
              <w:rPr>
                <w:rFonts w:cs="Arial"/>
                <w:szCs w:val="22"/>
              </w:rPr>
              <w:t xml:space="preserve"> </w:t>
            </w:r>
          </w:p>
          <w:p w14:paraId="7FC24E47" w14:textId="77777777" w:rsidR="00934B4C" w:rsidRDefault="00934B4C" w:rsidP="004849D2">
            <w:pPr>
              <w:pStyle w:val="GBCReportBodyHeading"/>
              <w:numPr>
                <w:ilvl w:val="0"/>
                <w:numId w:val="0"/>
              </w:numPr>
              <w:spacing w:after="0"/>
              <w:rPr>
                <w:b w:val="0"/>
                <w:i/>
              </w:rPr>
            </w:pPr>
          </w:p>
          <w:p w14:paraId="5C41F580" w14:textId="77777777" w:rsidR="00934B4C" w:rsidRDefault="00934B4C" w:rsidP="004849D2">
            <w:pPr>
              <w:pStyle w:val="GBCReportBodyHeading"/>
              <w:numPr>
                <w:ilvl w:val="0"/>
                <w:numId w:val="0"/>
              </w:numPr>
              <w:spacing w:after="0"/>
              <w:rPr>
                <w:b w:val="0"/>
                <w:i/>
              </w:rPr>
            </w:pPr>
            <w:r w:rsidRPr="005F30B2">
              <w:rPr>
                <w:b w:val="0"/>
                <w:i/>
              </w:rPr>
              <w:t>In submitting this report, the Chief Officer doing so is confirming that they have given due regard to the equality impacts of the decision being considered</w:t>
            </w:r>
          </w:p>
          <w:p w14:paraId="69740524" w14:textId="77777777" w:rsidR="00934B4C" w:rsidRPr="00934B4C" w:rsidRDefault="00934B4C" w:rsidP="004849D2">
            <w:pPr>
              <w:pStyle w:val="GBCReportBodyHeading"/>
              <w:numPr>
                <w:ilvl w:val="0"/>
                <w:numId w:val="0"/>
              </w:numPr>
              <w:ind w:left="360" w:hanging="360"/>
            </w:pPr>
          </w:p>
        </w:tc>
      </w:tr>
      <w:tr w:rsidR="00934B4C" w:rsidRPr="004849D2" w14:paraId="7302D30F" w14:textId="77777777" w:rsidTr="00EE1ED1">
        <w:trPr>
          <w:trHeight w:val="478"/>
        </w:trPr>
        <w:tc>
          <w:tcPr>
            <w:tcW w:w="2855" w:type="dxa"/>
            <w:vMerge w:val="restart"/>
            <w:tcBorders>
              <w:left w:val="single" w:sz="12" w:space="0" w:color="000000"/>
            </w:tcBorders>
          </w:tcPr>
          <w:p w14:paraId="5856F34E" w14:textId="77777777" w:rsidR="00934B4C" w:rsidRPr="00362AC8" w:rsidRDefault="00934B4C" w:rsidP="004849D2">
            <w:pPr>
              <w:pStyle w:val="GBCReportBodyHeading"/>
              <w:keepNext w:val="0"/>
              <w:numPr>
                <w:ilvl w:val="0"/>
                <w:numId w:val="0"/>
              </w:numPr>
              <w:spacing w:after="120"/>
            </w:pPr>
            <w:r w:rsidRPr="00362AC8">
              <w:t>Other Consideration</w:t>
            </w:r>
            <w:r>
              <w:t>s</w:t>
            </w:r>
          </w:p>
        </w:tc>
        <w:tc>
          <w:tcPr>
            <w:tcW w:w="7953" w:type="dxa"/>
            <w:tcBorders>
              <w:right w:val="single" w:sz="12" w:space="0" w:color="000000"/>
            </w:tcBorders>
          </w:tcPr>
          <w:p w14:paraId="1AC0D6F2" w14:textId="77777777" w:rsidR="00934B4C" w:rsidRPr="00261795" w:rsidRDefault="00934B4C" w:rsidP="004849D2">
            <w:pPr>
              <w:pStyle w:val="GBCReportBodyHeading"/>
              <w:numPr>
                <w:ilvl w:val="0"/>
                <w:numId w:val="0"/>
              </w:numPr>
              <w:spacing w:after="120"/>
              <w:rPr>
                <w:b w:val="0"/>
              </w:rPr>
            </w:pPr>
            <w:r>
              <w:rPr>
                <w:b w:val="0"/>
              </w:rPr>
              <w:t xml:space="preserve">How will </w:t>
            </w:r>
            <w:r w:rsidR="00276DE6">
              <w:rPr>
                <w:b w:val="0"/>
              </w:rPr>
              <w:t>the</w:t>
            </w:r>
            <w:r>
              <w:rPr>
                <w:b w:val="0"/>
              </w:rPr>
              <w:t xml:space="preserve"> </w:t>
            </w:r>
            <w:r w:rsidR="00276DE6">
              <w:rPr>
                <w:b w:val="0"/>
              </w:rPr>
              <w:t xml:space="preserve">content of </w:t>
            </w:r>
            <w:r>
              <w:rPr>
                <w:b w:val="0"/>
              </w:rPr>
              <w:t>report support or affect the following:</w:t>
            </w:r>
          </w:p>
        </w:tc>
      </w:tr>
      <w:tr w:rsidR="00934B4C" w:rsidRPr="004849D2" w14:paraId="7E6EB696" w14:textId="77777777" w:rsidTr="00EE1ED1">
        <w:trPr>
          <w:trHeight w:val="703"/>
        </w:trPr>
        <w:tc>
          <w:tcPr>
            <w:tcW w:w="2855" w:type="dxa"/>
            <w:vMerge/>
            <w:tcBorders>
              <w:left w:val="single" w:sz="12" w:space="0" w:color="000000"/>
            </w:tcBorders>
          </w:tcPr>
          <w:p w14:paraId="4E67DBC9" w14:textId="77777777" w:rsidR="00934B4C" w:rsidRPr="00010D75" w:rsidRDefault="00934B4C" w:rsidP="004849D2">
            <w:pPr>
              <w:pStyle w:val="GBCReportBodyHeading"/>
              <w:keepNext w:val="0"/>
              <w:numPr>
                <w:ilvl w:val="0"/>
                <w:numId w:val="0"/>
              </w:numPr>
              <w:spacing w:after="120"/>
            </w:pPr>
          </w:p>
        </w:tc>
        <w:tc>
          <w:tcPr>
            <w:tcW w:w="7953" w:type="dxa"/>
            <w:tcBorders>
              <w:right w:val="single" w:sz="12" w:space="0" w:color="000000"/>
            </w:tcBorders>
          </w:tcPr>
          <w:p w14:paraId="0167993F" w14:textId="2155DD51" w:rsidR="00934B4C" w:rsidRPr="00261795" w:rsidRDefault="00934B4C" w:rsidP="004849D2">
            <w:pPr>
              <w:pStyle w:val="GBCReportBodyHeading"/>
              <w:numPr>
                <w:ilvl w:val="0"/>
                <w:numId w:val="0"/>
              </w:numPr>
              <w:spacing w:after="120"/>
              <w:rPr>
                <w:b w:val="0"/>
              </w:rPr>
            </w:pPr>
            <w:r w:rsidRPr="00BC2285">
              <w:rPr>
                <w:b w:val="0"/>
                <w:bCs/>
              </w:rPr>
              <w:t>Socio-economic impact</w:t>
            </w:r>
            <w:r>
              <w:rPr>
                <w:b w:val="0"/>
                <w:bCs/>
              </w:rPr>
              <w:t>:</w:t>
            </w:r>
            <w:r>
              <w:t xml:space="preserve">  </w:t>
            </w:r>
            <w:r w:rsidR="00C62485">
              <w:rPr>
                <w:b w:val="0"/>
              </w:rPr>
              <w:t>N/a</w:t>
            </w:r>
          </w:p>
        </w:tc>
      </w:tr>
      <w:tr w:rsidR="00934B4C" w:rsidRPr="004849D2" w14:paraId="7A8476F1" w14:textId="77777777" w:rsidTr="00EE1ED1">
        <w:trPr>
          <w:trHeight w:val="703"/>
        </w:trPr>
        <w:tc>
          <w:tcPr>
            <w:tcW w:w="2855" w:type="dxa"/>
            <w:vMerge/>
            <w:tcBorders>
              <w:left w:val="single" w:sz="12" w:space="0" w:color="000000"/>
            </w:tcBorders>
          </w:tcPr>
          <w:p w14:paraId="785F9B3D" w14:textId="77777777" w:rsidR="00934B4C" w:rsidRDefault="00934B4C" w:rsidP="004849D2">
            <w:pPr>
              <w:pStyle w:val="GBCReportBodyHeading"/>
              <w:keepNext w:val="0"/>
              <w:numPr>
                <w:ilvl w:val="0"/>
                <w:numId w:val="0"/>
              </w:numPr>
              <w:spacing w:after="120"/>
            </w:pPr>
          </w:p>
        </w:tc>
        <w:tc>
          <w:tcPr>
            <w:tcW w:w="7953" w:type="dxa"/>
            <w:tcBorders>
              <w:right w:val="single" w:sz="12" w:space="0" w:color="000000"/>
            </w:tcBorders>
          </w:tcPr>
          <w:p w14:paraId="06D37D8E" w14:textId="67601536" w:rsidR="00934B4C" w:rsidRPr="00261795" w:rsidRDefault="00934B4C" w:rsidP="004849D2">
            <w:pPr>
              <w:pStyle w:val="GBCReportBodyHeading"/>
              <w:numPr>
                <w:ilvl w:val="0"/>
                <w:numId w:val="0"/>
              </w:numPr>
              <w:spacing w:after="120"/>
              <w:rPr>
                <w:b w:val="0"/>
              </w:rPr>
            </w:pPr>
            <w:r w:rsidRPr="00BC2285">
              <w:rPr>
                <w:b w:val="0"/>
                <w:bCs/>
              </w:rPr>
              <w:t>Crime and Disorder</w:t>
            </w:r>
            <w:r>
              <w:rPr>
                <w:b w:val="0"/>
                <w:bCs/>
              </w:rPr>
              <w:t>:</w:t>
            </w:r>
            <w:r w:rsidRPr="00261795">
              <w:rPr>
                <w:b w:val="0"/>
              </w:rPr>
              <w:t xml:space="preserve"> </w:t>
            </w:r>
            <w:r>
              <w:rPr>
                <w:b w:val="0"/>
              </w:rPr>
              <w:t xml:space="preserve"> </w:t>
            </w:r>
            <w:r w:rsidR="00C62485">
              <w:rPr>
                <w:b w:val="0"/>
              </w:rPr>
              <w:t>N/a</w:t>
            </w:r>
            <w:r w:rsidR="006622E6">
              <w:rPr>
                <w:b w:val="0"/>
              </w:rPr>
              <w:br/>
            </w:r>
          </w:p>
        </w:tc>
      </w:tr>
      <w:tr w:rsidR="006622E6" w:rsidRPr="004849D2" w14:paraId="6DCC7982" w14:textId="77777777" w:rsidTr="00EE1ED1">
        <w:trPr>
          <w:trHeight w:val="703"/>
        </w:trPr>
        <w:tc>
          <w:tcPr>
            <w:tcW w:w="2855" w:type="dxa"/>
            <w:vMerge/>
            <w:tcBorders>
              <w:left w:val="single" w:sz="12" w:space="0" w:color="000000"/>
            </w:tcBorders>
          </w:tcPr>
          <w:p w14:paraId="0A5AB463" w14:textId="77777777" w:rsidR="006622E6" w:rsidRDefault="006622E6" w:rsidP="006622E6">
            <w:pPr>
              <w:pStyle w:val="GBCReportBodyHeading"/>
              <w:keepNext w:val="0"/>
              <w:numPr>
                <w:ilvl w:val="0"/>
                <w:numId w:val="0"/>
              </w:numPr>
              <w:spacing w:after="120"/>
            </w:pPr>
          </w:p>
        </w:tc>
        <w:tc>
          <w:tcPr>
            <w:tcW w:w="7953" w:type="dxa"/>
            <w:tcBorders>
              <w:right w:val="single" w:sz="12" w:space="0" w:color="000000"/>
            </w:tcBorders>
          </w:tcPr>
          <w:p w14:paraId="54C6E859" w14:textId="7C9C90A8" w:rsidR="006622E6" w:rsidRPr="00BC2285" w:rsidRDefault="006622E6" w:rsidP="006622E6">
            <w:pPr>
              <w:pStyle w:val="GBCReportBodyHeading"/>
              <w:numPr>
                <w:ilvl w:val="0"/>
                <w:numId w:val="0"/>
              </w:numPr>
              <w:spacing w:after="120"/>
              <w:rPr>
                <w:b w:val="0"/>
                <w:bCs/>
              </w:rPr>
            </w:pPr>
            <w:r>
              <w:rPr>
                <w:b w:val="0"/>
                <w:bCs/>
              </w:rPr>
              <w:t xml:space="preserve">Safeguarding Children &amp; Adults: </w:t>
            </w:r>
            <w:r w:rsidR="00C62485">
              <w:rPr>
                <w:b w:val="0"/>
              </w:rPr>
              <w:t>N/a</w:t>
            </w:r>
          </w:p>
        </w:tc>
      </w:tr>
      <w:tr w:rsidR="006622E6" w:rsidRPr="004849D2" w14:paraId="214462C1" w14:textId="77777777" w:rsidTr="00EE1ED1">
        <w:trPr>
          <w:trHeight w:val="703"/>
        </w:trPr>
        <w:tc>
          <w:tcPr>
            <w:tcW w:w="2855" w:type="dxa"/>
            <w:vMerge/>
            <w:tcBorders>
              <w:left w:val="single" w:sz="12" w:space="0" w:color="000000"/>
            </w:tcBorders>
          </w:tcPr>
          <w:p w14:paraId="46D3EAE5" w14:textId="77777777" w:rsidR="006622E6" w:rsidRPr="00010D75" w:rsidRDefault="006622E6" w:rsidP="006622E6">
            <w:pPr>
              <w:pStyle w:val="GBCReportBodyHeading"/>
              <w:keepNext w:val="0"/>
              <w:numPr>
                <w:ilvl w:val="0"/>
                <w:numId w:val="0"/>
              </w:numPr>
              <w:spacing w:after="120"/>
            </w:pPr>
          </w:p>
        </w:tc>
        <w:tc>
          <w:tcPr>
            <w:tcW w:w="7953" w:type="dxa"/>
            <w:tcBorders>
              <w:right w:val="single" w:sz="12" w:space="0" w:color="000000"/>
            </w:tcBorders>
          </w:tcPr>
          <w:p w14:paraId="4AE72A08" w14:textId="0307F940" w:rsidR="006622E6" w:rsidRPr="00BC2285" w:rsidRDefault="006622E6" w:rsidP="006622E6">
            <w:pPr>
              <w:pStyle w:val="GBCReportBodyHeading"/>
              <w:numPr>
                <w:ilvl w:val="0"/>
                <w:numId w:val="0"/>
              </w:numPr>
              <w:spacing w:after="120"/>
              <w:rPr>
                <w:b w:val="0"/>
                <w:bCs/>
              </w:rPr>
            </w:pPr>
            <w:r>
              <w:rPr>
                <w:b w:val="0"/>
                <w:bCs/>
              </w:rPr>
              <w:t xml:space="preserve">Social Value: </w:t>
            </w:r>
            <w:r w:rsidR="00C62485">
              <w:rPr>
                <w:b w:val="0"/>
              </w:rPr>
              <w:t>N/a</w:t>
            </w:r>
          </w:p>
        </w:tc>
      </w:tr>
      <w:tr w:rsidR="006622E6" w:rsidRPr="004849D2" w14:paraId="5AE6E7D9" w14:textId="77777777" w:rsidTr="00EE1ED1">
        <w:trPr>
          <w:trHeight w:val="703"/>
        </w:trPr>
        <w:tc>
          <w:tcPr>
            <w:tcW w:w="2855" w:type="dxa"/>
            <w:tcBorders>
              <w:left w:val="single" w:sz="12" w:space="0" w:color="000000"/>
            </w:tcBorders>
          </w:tcPr>
          <w:p w14:paraId="578D4487" w14:textId="77777777" w:rsidR="006622E6" w:rsidRPr="00BC2285" w:rsidRDefault="006622E6" w:rsidP="006622E6">
            <w:pPr>
              <w:pStyle w:val="GBCReportBodyHeading"/>
              <w:keepNext w:val="0"/>
              <w:numPr>
                <w:ilvl w:val="0"/>
                <w:numId w:val="0"/>
              </w:numPr>
              <w:spacing w:after="120"/>
            </w:pPr>
            <w:r w:rsidRPr="00BC2285">
              <w:t>Consultation &amp; Engagement:</w:t>
            </w:r>
          </w:p>
        </w:tc>
        <w:tc>
          <w:tcPr>
            <w:tcW w:w="7953" w:type="dxa"/>
            <w:tcBorders>
              <w:right w:val="single" w:sz="12" w:space="0" w:color="000000"/>
            </w:tcBorders>
          </w:tcPr>
          <w:p w14:paraId="618AD4A5" w14:textId="77777777" w:rsidR="006622E6" w:rsidRDefault="006622E6" w:rsidP="006622E6">
            <w:pPr>
              <w:spacing w:after="120"/>
              <w:rPr>
                <w:szCs w:val="22"/>
              </w:rPr>
            </w:pPr>
            <w:r>
              <w:rPr>
                <w:szCs w:val="22"/>
              </w:rPr>
              <w:t>Has there been any consultation or engagement, including future planned consultation/engagement, in relation to this paper?</w:t>
            </w:r>
          </w:p>
          <w:p w14:paraId="260CA379" w14:textId="1BE1696E" w:rsidR="006622E6" w:rsidRDefault="00C62485" w:rsidP="00C62485">
            <w:pPr>
              <w:pStyle w:val="GBCReportBodyText"/>
              <w:numPr>
                <w:ilvl w:val="0"/>
                <w:numId w:val="0"/>
              </w:numPr>
              <w:rPr>
                <w:szCs w:val="22"/>
              </w:rPr>
            </w:pPr>
            <w:r>
              <w:rPr>
                <w:szCs w:val="22"/>
              </w:rPr>
              <w:t xml:space="preserve">No, however this will be shared on Gravesham website </w:t>
            </w:r>
            <w:proofErr w:type="gramStart"/>
            <w:r>
              <w:rPr>
                <w:szCs w:val="22"/>
              </w:rPr>
              <w:t>and also</w:t>
            </w:r>
            <w:proofErr w:type="gramEnd"/>
            <w:r>
              <w:rPr>
                <w:szCs w:val="22"/>
              </w:rPr>
              <w:t xml:space="preserve"> be sent to our tenants through </w:t>
            </w:r>
            <w:proofErr w:type="spellStart"/>
            <w:r>
              <w:rPr>
                <w:szCs w:val="22"/>
              </w:rPr>
              <w:t>GoVocal</w:t>
            </w:r>
            <w:proofErr w:type="spellEnd"/>
            <w:r>
              <w:rPr>
                <w:szCs w:val="22"/>
              </w:rPr>
              <w:t xml:space="preserve"> &amp; </w:t>
            </w:r>
            <w:proofErr w:type="spellStart"/>
            <w:r>
              <w:rPr>
                <w:szCs w:val="22"/>
              </w:rPr>
              <w:t>Whatsapp</w:t>
            </w:r>
            <w:proofErr w:type="spellEnd"/>
            <w:r>
              <w:rPr>
                <w:szCs w:val="22"/>
              </w:rPr>
              <w:t xml:space="preserve"> Channel via a link.</w:t>
            </w:r>
          </w:p>
          <w:p w14:paraId="4DE81127" w14:textId="77777777" w:rsidR="006622E6" w:rsidRPr="00261795" w:rsidRDefault="006622E6" w:rsidP="006622E6">
            <w:pPr>
              <w:spacing w:after="120"/>
              <w:rPr>
                <w:szCs w:val="22"/>
              </w:rPr>
            </w:pPr>
            <w:r>
              <w:rPr>
                <w:szCs w:val="22"/>
              </w:rPr>
              <w:t xml:space="preserve">Please liaise with the Community Involvement team for assistance if required.  </w:t>
            </w:r>
            <w:hyperlink r:id="rId14" w:history="1">
              <w:r w:rsidRPr="007E6D33">
                <w:rPr>
                  <w:rStyle w:val="Hyperlink"/>
                  <w:szCs w:val="22"/>
                </w:rPr>
                <w:t>community.involvement@gravesham.gov.uk</w:t>
              </w:r>
            </w:hyperlink>
          </w:p>
        </w:tc>
      </w:tr>
      <w:tr w:rsidR="006622E6" w:rsidRPr="004849D2" w14:paraId="6F4179F7" w14:textId="77777777" w:rsidTr="004849D2">
        <w:trPr>
          <w:trHeight w:val="703"/>
        </w:trPr>
        <w:tc>
          <w:tcPr>
            <w:tcW w:w="2855" w:type="dxa"/>
            <w:tcBorders>
              <w:left w:val="single" w:sz="12" w:space="0" w:color="000000"/>
            </w:tcBorders>
            <w:shd w:val="clear" w:color="auto" w:fill="auto"/>
          </w:tcPr>
          <w:p w14:paraId="67595223" w14:textId="77777777" w:rsidR="006622E6" w:rsidRPr="004849D2" w:rsidRDefault="006622E6" w:rsidP="006622E6">
            <w:pPr>
              <w:pStyle w:val="GBCReportBodyHeading"/>
              <w:keepNext w:val="0"/>
              <w:numPr>
                <w:ilvl w:val="0"/>
                <w:numId w:val="0"/>
              </w:numPr>
              <w:shd w:val="clear" w:color="auto" w:fill="FFFFFF" w:themeFill="background1"/>
              <w:spacing w:after="120"/>
            </w:pPr>
            <w:r w:rsidRPr="004849D2">
              <w:lastRenderedPageBreak/>
              <w:t>Involvement of other services</w:t>
            </w:r>
          </w:p>
        </w:tc>
        <w:tc>
          <w:tcPr>
            <w:tcW w:w="7953" w:type="dxa"/>
            <w:tcBorders>
              <w:right w:val="single" w:sz="12" w:space="0" w:color="000000"/>
            </w:tcBorders>
            <w:shd w:val="clear" w:color="auto" w:fill="auto"/>
          </w:tcPr>
          <w:p w14:paraId="68B0EE8A" w14:textId="77777777" w:rsidR="006622E6" w:rsidRPr="004849D2" w:rsidRDefault="006622E6" w:rsidP="006622E6">
            <w:pPr>
              <w:shd w:val="clear" w:color="auto" w:fill="FFFFFF" w:themeFill="background1"/>
              <w:spacing w:after="120"/>
            </w:pPr>
            <w:r w:rsidRPr="00B26B6B">
              <w:t>Have any other departments been involved or engaged with during the creation of the report:</w:t>
            </w:r>
            <w:r>
              <w:t xml:space="preserve"> </w:t>
            </w:r>
          </w:p>
          <w:p w14:paraId="66BC1E90" w14:textId="77777777" w:rsidR="006622E6" w:rsidRPr="004849D2" w:rsidRDefault="006622E6" w:rsidP="006622E6">
            <w:pPr>
              <w:shd w:val="clear" w:color="auto" w:fill="FFFFFF" w:themeFill="background1"/>
              <w:spacing w:after="120"/>
              <w:rPr>
                <w:szCs w:val="22"/>
              </w:rPr>
            </w:pPr>
            <w:r w:rsidRPr="004849D2">
              <w:rPr>
                <w:szCs w:val="22"/>
              </w:rPr>
              <w:t>Digital or IT</w:t>
            </w:r>
          </w:p>
          <w:p w14:paraId="33E18F41" w14:textId="6EC20367" w:rsidR="006622E6" w:rsidRPr="004849D2" w:rsidRDefault="006622E6" w:rsidP="006622E6">
            <w:pPr>
              <w:shd w:val="clear" w:color="auto" w:fill="FFFFFF" w:themeFill="background1"/>
              <w:spacing w:after="120"/>
              <w:rPr>
                <w:szCs w:val="22"/>
              </w:rPr>
            </w:pPr>
            <w:r w:rsidRPr="004849D2">
              <w:rPr>
                <w:szCs w:val="22"/>
              </w:rPr>
              <w:t>Communications</w:t>
            </w:r>
          </w:p>
        </w:tc>
      </w:tr>
      <w:bookmarkEnd w:id="1"/>
    </w:tbl>
    <w:p w14:paraId="3DF0F244" w14:textId="77777777" w:rsidR="00B339E6" w:rsidRPr="004849D2" w:rsidRDefault="00B339E6" w:rsidP="004849D2">
      <w:pPr>
        <w:pStyle w:val="GBCReportBodyText"/>
        <w:numPr>
          <w:ilvl w:val="0"/>
          <w:numId w:val="0"/>
        </w:numPr>
        <w:shd w:val="clear" w:color="auto" w:fill="FFFFFF" w:themeFill="background1"/>
        <w:rPr>
          <w:sz w:val="4"/>
          <w:szCs w:val="4"/>
        </w:rPr>
      </w:pPr>
    </w:p>
    <w:sectPr w:rsidR="00B339E6" w:rsidRPr="004849D2" w:rsidSect="0086389E">
      <w:footerReference w:type="default" r:id="rId15"/>
      <w:headerReference w:type="first" r:id="rId16"/>
      <w:type w:val="continuous"/>
      <w:pgSz w:w="11906" w:h="16838" w:code="9"/>
      <w:pgMar w:top="993" w:right="1440" w:bottom="1134" w:left="1440" w:header="709" w:footer="936"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B634" w14:textId="77777777" w:rsidR="008C04C5" w:rsidRDefault="008C04C5">
      <w:r>
        <w:separator/>
      </w:r>
    </w:p>
  </w:endnote>
  <w:endnote w:type="continuationSeparator" w:id="0">
    <w:p w14:paraId="033FB20E" w14:textId="77777777" w:rsidR="008C04C5" w:rsidRDefault="008C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363" w14:textId="77777777" w:rsidR="00714244" w:rsidRDefault="00714244">
    <w:pPr>
      <w:jc w:val="center"/>
    </w:pPr>
    <w:r>
      <w:fldChar w:fldCharType="begin"/>
    </w:r>
    <w:r>
      <w:instrText xml:space="preserve"> PAGE </w:instrText>
    </w:r>
    <w:r>
      <w:fldChar w:fldCharType="separate"/>
    </w:r>
    <w:r w:rsidR="00DD424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E839" w14:textId="77777777" w:rsidR="008C04C5" w:rsidRDefault="008C04C5">
      <w:r>
        <w:separator/>
      </w:r>
    </w:p>
  </w:footnote>
  <w:footnote w:type="continuationSeparator" w:id="0">
    <w:p w14:paraId="052F73FD" w14:textId="77777777" w:rsidR="008C04C5" w:rsidRDefault="008C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1FCE" w14:textId="77777777" w:rsidR="00714244" w:rsidRDefault="00714244">
    <w:pPr>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13C"/>
    <w:multiLevelType w:val="multilevel"/>
    <w:tmpl w:val="7750B89A"/>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1" w15:restartNumberingAfterBreak="0">
    <w:nsid w:val="04794B91"/>
    <w:multiLevelType w:val="hybridMultilevel"/>
    <w:tmpl w:val="9D08A94A"/>
    <w:lvl w:ilvl="0" w:tplc="0D2A67B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2767A"/>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FD20EC0"/>
    <w:multiLevelType w:val="hybridMultilevel"/>
    <w:tmpl w:val="D46E1A38"/>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B02A0B"/>
    <w:multiLevelType w:val="multilevel"/>
    <w:tmpl w:val="5AB2C5AC"/>
    <w:lvl w:ilvl="0">
      <w:start w:val="1"/>
      <w:numFmt w:val="decimal"/>
      <w:pStyle w:val="GBCReportBodyHeading"/>
      <w:lvlText w:val="%1."/>
      <w:lvlJc w:val="center"/>
      <w:pPr>
        <w:tabs>
          <w:tab w:val="num" w:pos="360"/>
        </w:tabs>
        <w:ind w:left="360" w:hanging="360"/>
      </w:pPr>
      <w:rPr>
        <w:rFonts w:cs="Times New Roman"/>
      </w:rPr>
    </w:lvl>
    <w:lvl w:ilvl="1">
      <w:start w:val="1"/>
      <w:numFmt w:val="decimal"/>
      <w:pStyle w:val="GBCReportBodyText"/>
      <w:lvlText w:val="%1.%2"/>
      <w:lvlJc w:val="left"/>
      <w:pPr>
        <w:tabs>
          <w:tab w:val="num" w:pos="1008"/>
        </w:tabs>
        <w:ind w:left="1008" w:hanging="648"/>
      </w:pPr>
      <w:rPr>
        <w:rFonts w:cs="Times New Roman"/>
      </w:rPr>
    </w:lvl>
    <w:lvl w:ilvl="2">
      <w:start w:val="1"/>
      <w:numFmt w:val="decimal"/>
      <w:lvlText w:val="%1.%2.%3"/>
      <w:lvlJc w:val="left"/>
      <w:pPr>
        <w:tabs>
          <w:tab w:val="num" w:pos="1728"/>
        </w:tabs>
        <w:ind w:left="1728" w:hanging="720"/>
      </w:pPr>
      <w:rPr>
        <w:rFonts w:cs="Times New Roman"/>
      </w:rPr>
    </w:lvl>
    <w:lvl w:ilvl="3">
      <w:start w:val="1"/>
      <w:numFmt w:val="decimal"/>
      <w:lvlText w:val="%1.%2.%3.%4"/>
      <w:lvlJc w:val="left"/>
      <w:pPr>
        <w:tabs>
          <w:tab w:val="num" w:pos="2592"/>
        </w:tabs>
        <w:ind w:left="2592" w:hanging="864"/>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024"/>
        </w:tabs>
        <w:ind w:left="3024" w:hanging="1224"/>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176"/>
        </w:tabs>
        <w:ind w:left="4176" w:hanging="1656"/>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1CA10934"/>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EB25944"/>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6FF09AD"/>
    <w:multiLevelType w:val="hybridMultilevel"/>
    <w:tmpl w:val="D480D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925696"/>
    <w:multiLevelType w:val="multilevel"/>
    <w:tmpl w:val="13B0C00C"/>
    <w:lvl w:ilvl="0">
      <w:start w:val="1"/>
      <w:numFmt w:val="decimal"/>
      <w:lvlText w:val="%1."/>
      <w:lvlJc w:val="center"/>
      <w:pPr>
        <w:tabs>
          <w:tab w:val="num" w:pos="360"/>
        </w:tabs>
        <w:ind w:left="360" w:hanging="360"/>
      </w:pPr>
      <w:rPr>
        <w:rFonts w:cs="Times New Roman"/>
      </w:rPr>
    </w:lvl>
    <w:lvl w:ilvl="1">
      <w:start w:val="1"/>
      <w:numFmt w:val="decimal"/>
      <w:lvlText w:val="%1.%2"/>
      <w:lvlJc w:val="left"/>
      <w:pPr>
        <w:tabs>
          <w:tab w:val="num" w:pos="864"/>
        </w:tabs>
        <w:ind w:left="864" w:hanging="504"/>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944"/>
        </w:tabs>
        <w:ind w:left="1944" w:hanging="864"/>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024"/>
        </w:tabs>
        <w:ind w:left="3024" w:hanging="1224"/>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176"/>
        </w:tabs>
        <w:ind w:left="4176" w:hanging="1656"/>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55113F4E"/>
    <w:multiLevelType w:val="hybridMultilevel"/>
    <w:tmpl w:val="906A9BCA"/>
    <w:lvl w:ilvl="0" w:tplc="9E886B02">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89B6E99"/>
    <w:multiLevelType w:val="hybridMultilevel"/>
    <w:tmpl w:val="9C8C3708"/>
    <w:lvl w:ilvl="0" w:tplc="08090001">
      <w:start w:val="1"/>
      <w:numFmt w:val="bullet"/>
      <w:lvlText w:val=""/>
      <w:lvlJc w:val="left"/>
      <w:pPr>
        <w:tabs>
          <w:tab w:val="num" w:pos="357"/>
        </w:tabs>
        <w:ind w:left="357" w:hanging="357"/>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937063"/>
    <w:multiLevelType w:val="multilevel"/>
    <w:tmpl w:val="896693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6DA81624"/>
    <w:multiLevelType w:val="multilevel"/>
    <w:tmpl w:val="56882A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B1D4D7F"/>
    <w:multiLevelType w:val="multilevel"/>
    <w:tmpl w:val="389E53C2"/>
    <w:lvl w:ilvl="0">
      <w:start w:val="1"/>
      <w:numFmt w:val="decimal"/>
      <w:lvlText w:val="%1."/>
      <w:lvlJc w:val="center"/>
      <w:pPr>
        <w:tabs>
          <w:tab w:val="num" w:pos="360"/>
        </w:tabs>
        <w:ind w:left="360" w:hanging="360"/>
      </w:pPr>
      <w:rPr>
        <w:rFonts w:cs="Times New Roman"/>
      </w:rPr>
    </w:lvl>
    <w:lvl w:ilvl="1">
      <w:start w:val="1"/>
      <w:numFmt w:val="decimal"/>
      <w:lvlText w:val="%1.%2"/>
      <w:lvlJc w:val="left"/>
      <w:pPr>
        <w:tabs>
          <w:tab w:val="num" w:pos="864"/>
        </w:tabs>
        <w:ind w:left="864" w:hanging="504"/>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944"/>
        </w:tabs>
        <w:ind w:left="1944" w:hanging="864"/>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024"/>
        </w:tabs>
        <w:ind w:left="3024" w:hanging="1224"/>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176"/>
        </w:tabs>
        <w:ind w:left="4176" w:hanging="1656"/>
      </w:pPr>
      <w:rPr>
        <w:rFonts w:cs="Times New Roman"/>
      </w:rPr>
    </w:lvl>
    <w:lvl w:ilvl="8">
      <w:start w:val="1"/>
      <w:numFmt w:val="decimal"/>
      <w:lvlText w:val="%1.%2.%3.%4.%5.%6.%7.%8.%9"/>
      <w:lvlJc w:val="left"/>
      <w:pPr>
        <w:tabs>
          <w:tab w:val="num" w:pos="4680"/>
        </w:tabs>
        <w:ind w:left="4680" w:hanging="1800"/>
      </w:pPr>
      <w:rPr>
        <w:rFonts w:cs="Times New Roman"/>
      </w:rPr>
    </w:lvl>
  </w:abstractNum>
  <w:num w:numId="1" w16cid:durableId="522940096">
    <w:abstractNumId w:val="11"/>
  </w:num>
  <w:num w:numId="2" w16cid:durableId="415177780">
    <w:abstractNumId w:val="2"/>
  </w:num>
  <w:num w:numId="3" w16cid:durableId="719403352">
    <w:abstractNumId w:val="12"/>
  </w:num>
  <w:num w:numId="4" w16cid:durableId="294608309">
    <w:abstractNumId w:val="5"/>
  </w:num>
  <w:num w:numId="5" w16cid:durableId="1154955519">
    <w:abstractNumId w:val="6"/>
  </w:num>
  <w:num w:numId="6" w16cid:durableId="729839222">
    <w:abstractNumId w:val="13"/>
  </w:num>
  <w:num w:numId="7" w16cid:durableId="716978668">
    <w:abstractNumId w:val="4"/>
  </w:num>
  <w:num w:numId="8" w16cid:durableId="1429422722">
    <w:abstractNumId w:val="8"/>
  </w:num>
  <w:num w:numId="9" w16cid:durableId="1451587746">
    <w:abstractNumId w:val="0"/>
  </w:num>
  <w:num w:numId="10" w16cid:durableId="35180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384038">
    <w:abstractNumId w:val="3"/>
  </w:num>
  <w:num w:numId="12" w16cid:durableId="2131823014">
    <w:abstractNumId w:val="9"/>
  </w:num>
  <w:num w:numId="13" w16cid:durableId="1672681967">
    <w:abstractNumId w:val="7"/>
  </w:num>
  <w:num w:numId="14" w16cid:durableId="1741446462">
    <w:abstractNumId w:val="4"/>
  </w:num>
  <w:num w:numId="15" w16cid:durableId="924073095">
    <w:abstractNumId w:val="1"/>
  </w:num>
  <w:num w:numId="16" w16cid:durableId="9257480">
    <w:abstractNumId w:val="4"/>
  </w:num>
  <w:num w:numId="17" w16cid:durableId="736048767">
    <w:abstractNumId w:val="4"/>
  </w:num>
  <w:num w:numId="18" w16cid:durableId="1392845963">
    <w:abstractNumId w:val="4"/>
  </w:num>
  <w:num w:numId="19" w16cid:durableId="636032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E6"/>
    <w:rsid w:val="00005C21"/>
    <w:rsid w:val="00010D75"/>
    <w:rsid w:val="00024A9C"/>
    <w:rsid w:val="0002552B"/>
    <w:rsid w:val="00041E38"/>
    <w:rsid w:val="00043F4B"/>
    <w:rsid w:val="0004773B"/>
    <w:rsid w:val="00052967"/>
    <w:rsid w:val="00081FE1"/>
    <w:rsid w:val="00082F2E"/>
    <w:rsid w:val="000E1BE3"/>
    <w:rsid w:val="00132680"/>
    <w:rsid w:val="00165C0A"/>
    <w:rsid w:val="001D19EA"/>
    <w:rsid w:val="001E6BB7"/>
    <w:rsid w:val="0020229E"/>
    <w:rsid w:val="00203ADE"/>
    <w:rsid w:val="00205B38"/>
    <w:rsid w:val="002216DB"/>
    <w:rsid w:val="002570C3"/>
    <w:rsid w:val="00261795"/>
    <w:rsid w:val="00265D5B"/>
    <w:rsid w:val="00276DE6"/>
    <w:rsid w:val="002838F7"/>
    <w:rsid w:val="00293859"/>
    <w:rsid w:val="00294B06"/>
    <w:rsid w:val="00296008"/>
    <w:rsid w:val="00331B23"/>
    <w:rsid w:val="00332166"/>
    <w:rsid w:val="00380BD7"/>
    <w:rsid w:val="003935B5"/>
    <w:rsid w:val="00395034"/>
    <w:rsid w:val="003A3497"/>
    <w:rsid w:val="003A3C96"/>
    <w:rsid w:val="003A62BC"/>
    <w:rsid w:val="003C1EFF"/>
    <w:rsid w:val="003C50C4"/>
    <w:rsid w:val="003F4E31"/>
    <w:rsid w:val="0040061E"/>
    <w:rsid w:val="00411EA8"/>
    <w:rsid w:val="00421585"/>
    <w:rsid w:val="00422FD3"/>
    <w:rsid w:val="0046496D"/>
    <w:rsid w:val="0048231D"/>
    <w:rsid w:val="004849D2"/>
    <w:rsid w:val="00491C8A"/>
    <w:rsid w:val="004B2F35"/>
    <w:rsid w:val="004D7472"/>
    <w:rsid w:val="004F39C4"/>
    <w:rsid w:val="00513450"/>
    <w:rsid w:val="0053019D"/>
    <w:rsid w:val="00550C21"/>
    <w:rsid w:val="005674B0"/>
    <w:rsid w:val="00573CF8"/>
    <w:rsid w:val="005A2E98"/>
    <w:rsid w:val="005B0976"/>
    <w:rsid w:val="005E3961"/>
    <w:rsid w:val="005E657B"/>
    <w:rsid w:val="005F30B2"/>
    <w:rsid w:val="006002F4"/>
    <w:rsid w:val="00604A1A"/>
    <w:rsid w:val="006117DA"/>
    <w:rsid w:val="006622E6"/>
    <w:rsid w:val="00667232"/>
    <w:rsid w:val="00670864"/>
    <w:rsid w:val="00670C91"/>
    <w:rsid w:val="00683B4D"/>
    <w:rsid w:val="00693796"/>
    <w:rsid w:val="00697B63"/>
    <w:rsid w:val="006B4383"/>
    <w:rsid w:val="006C3C3A"/>
    <w:rsid w:val="006F33D4"/>
    <w:rsid w:val="00714244"/>
    <w:rsid w:val="00735096"/>
    <w:rsid w:val="0074138E"/>
    <w:rsid w:val="00747AFC"/>
    <w:rsid w:val="00761974"/>
    <w:rsid w:val="00770BB9"/>
    <w:rsid w:val="00780ABF"/>
    <w:rsid w:val="00783384"/>
    <w:rsid w:val="007A62BF"/>
    <w:rsid w:val="007A7A7C"/>
    <w:rsid w:val="007B2BD9"/>
    <w:rsid w:val="007C1F34"/>
    <w:rsid w:val="007C70EA"/>
    <w:rsid w:val="007D3586"/>
    <w:rsid w:val="007E13AD"/>
    <w:rsid w:val="00821F9D"/>
    <w:rsid w:val="00835426"/>
    <w:rsid w:val="00846ACF"/>
    <w:rsid w:val="00847FA7"/>
    <w:rsid w:val="008553FB"/>
    <w:rsid w:val="00857F38"/>
    <w:rsid w:val="008616DB"/>
    <w:rsid w:val="0086389E"/>
    <w:rsid w:val="00865F69"/>
    <w:rsid w:val="00870E36"/>
    <w:rsid w:val="00896200"/>
    <w:rsid w:val="008C04C5"/>
    <w:rsid w:val="008C5F90"/>
    <w:rsid w:val="008E6F46"/>
    <w:rsid w:val="009010DF"/>
    <w:rsid w:val="00905246"/>
    <w:rsid w:val="00934B4C"/>
    <w:rsid w:val="009353D0"/>
    <w:rsid w:val="00941471"/>
    <w:rsid w:val="009501D4"/>
    <w:rsid w:val="0097620C"/>
    <w:rsid w:val="009E4608"/>
    <w:rsid w:val="009E54A6"/>
    <w:rsid w:val="00A245CC"/>
    <w:rsid w:val="00A64275"/>
    <w:rsid w:val="00A65B01"/>
    <w:rsid w:val="00A72CBC"/>
    <w:rsid w:val="00AA4BE6"/>
    <w:rsid w:val="00AD5F12"/>
    <w:rsid w:val="00AF318B"/>
    <w:rsid w:val="00B11F63"/>
    <w:rsid w:val="00B25CE7"/>
    <w:rsid w:val="00B26B6B"/>
    <w:rsid w:val="00B339E6"/>
    <w:rsid w:val="00B514A8"/>
    <w:rsid w:val="00BC60B2"/>
    <w:rsid w:val="00BF6E19"/>
    <w:rsid w:val="00C13CAC"/>
    <w:rsid w:val="00C2056C"/>
    <w:rsid w:val="00C614E7"/>
    <w:rsid w:val="00C621EB"/>
    <w:rsid w:val="00C62485"/>
    <w:rsid w:val="00CA5D0A"/>
    <w:rsid w:val="00CC30C8"/>
    <w:rsid w:val="00CD5EFC"/>
    <w:rsid w:val="00D03169"/>
    <w:rsid w:val="00D244C9"/>
    <w:rsid w:val="00D4013D"/>
    <w:rsid w:val="00D415F1"/>
    <w:rsid w:val="00D45443"/>
    <w:rsid w:val="00D559E9"/>
    <w:rsid w:val="00D64A39"/>
    <w:rsid w:val="00D807DA"/>
    <w:rsid w:val="00D92636"/>
    <w:rsid w:val="00DA5F2E"/>
    <w:rsid w:val="00DB6081"/>
    <w:rsid w:val="00DC2CBF"/>
    <w:rsid w:val="00DD4249"/>
    <w:rsid w:val="00DE2ACE"/>
    <w:rsid w:val="00DE62E8"/>
    <w:rsid w:val="00DF192C"/>
    <w:rsid w:val="00DF4E5C"/>
    <w:rsid w:val="00E22B2B"/>
    <w:rsid w:val="00E65963"/>
    <w:rsid w:val="00E80C44"/>
    <w:rsid w:val="00E95125"/>
    <w:rsid w:val="00EB43BB"/>
    <w:rsid w:val="00F0366F"/>
    <w:rsid w:val="00F20F0B"/>
    <w:rsid w:val="00F24462"/>
    <w:rsid w:val="00F35C04"/>
    <w:rsid w:val="00F53F5D"/>
    <w:rsid w:val="00F6228B"/>
    <w:rsid w:val="00F90A48"/>
    <w:rsid w:val="00F92957"/>
    <w:rsid w:val="00FA7556"/>
    <w:rsid w:val="00FD7E13"/>
    <w:rsid w:val="00FE3ECA"/>
    <w:rsid w:val="00FF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ECA7"/>
  <w15:docId w15:val="{5FEF8435-99A6-47E1-BB60-89E140AD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0A"/>
    <w:rPr>
      <w:rFonts w:ascii="Arial" w:hAnsi="Arial"/>
      <w:sz w:val="22"/>
    </w:rPr>
  </w:style>
  <w:style w:type="paragraph" w:styleId="Heading1">
    <w:name w:val="heading 1"/>
    <w:basedOn w:val="Normal"/>
    <w:next w:val="GBCReportBodyText"/>
    <w:qFormat/>
    <w:rsid w:val="00CA5D0A"/>
    <w:pPr>
      <w:keepNext/>
      <w:tabs>
        <w:tab w:val="left" w:pos="360"/>
      </w:tabs>
      <w:spacing w:after="240"/>
      <w:outlineLvl w:val="0"/>
    </w:pPr>
    <w:rPr>
      <w:b/>
    </w:rPr>
  </w:style>
  <w:style w:type="paragraph" w:styleId="Heading2">
    <w:name w:val="heading 2"/>
    <w:basedOn w:val="Normal"/>
    <w:next w:val="Normal"/>
    <w:qFormat/>
    <w:rsid w:val="00CA5D0A"/>
    <w:pPr>
      <w:keepNext/>
      <w:jc w:val="right"/>
      <w:outlineLvl w:val="1"/>
    </w:pPr>
    <w:rPr>
      <w:b/>
    </w:rPr>
  </w:style>
  <w:style w:type="paragraph" w:styleId="Heading3">
    <w:name w:val="heading 3"/>
    <w:basedOn w:val="Normal"/>
    <w:next w:val="Normal"/>
    <w:qFormat/>
    <w:rsid w:val="00CA5D0A"/>
    <w:pPr>
      <w:keepNext/>
      <w:spacing w:before="1320" w:after="36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CReportBodyText">
    <w:name w:val="GBC Report Body Text"/>
    <w:basedOn w:val="Normal"/>
    <w:rsid w:val="003A62BC"/>
    <w:pPr>
      <w:numPr>
        <w:ilvl w:val="1"/>
        <w:numId w:val="7"/>
      </w:numPr>
      <w:spacing w:after="240"/>
      <w:outlineLvl w:val="1"/>
    </w:pPr>
  </w:style>
  <w:style w:type="paragraph" w:styleId="Header">
    <w:name w:val="header"/>
    <w:basedOn w:val="Normal"/>
    <w:rsid w:val="00CA5D0A"/>
    <w:pPr>
      <w:tabs>
        <w:tab w:val="center" w:pos="4153"/>
        <w:tab w:val="right" w:pos="8306"/>
      </w:tabs>
    </w:pPr>
  </w:style>
  <w:style w:type="paragraph" w:styleId="Footer">
    <w:name w:val="footer"/>
    <w:basedOn w:val="Normal"/>
    <w:rsid w:val="00CA5D0A"/>
    <w:pPr>
      <w:tabs>
        <w:tab w:val="center" w:pos="4153"/>
        <w:tab w:val="right" w:pos="8306"/>
      </w:tabs>
    </w:pPr>
  </w:style>
  <w:style w:type="paragraph" w:customStyle="1" w:styleId="GBCReportBodyHeading">
    <w:name w:val="GBC Report Body Heading"/>
    <w:basedOn w:val="Normal"/>
    <w:next w:val="GBCReportBodyText"/>
    <w:rsid w:val="00A72CBC"/>
    <w:pPr>
      <w:keepNext/>
      <w:numPr>
        <w:numId w:val="7"/>
      </w:numPr>
      <w:spacing w:after="240"/>
      <w:outlineLvl w:val="0"/>
    </w:pPr>
    <w:rPr>
      <w:b/>
      <w:szCs w:val="22"/>
    </w:rPr>
  </w:style>
  <w:style w:type="paragraph" w:styleId="NoSpacing">
    <w:name w:val="No Spacing"/>
    <w:qFormat/>
    <w:rsid w:val="00C2056C"/>
    <w:rPr>
      <w:rFonts w:ascii="Calibri" w:hAnsi="Calibri"/>
      <w:sz w:val="22"/>
      <w:szCs w:val="22"/>
      <w:lang w:eastAsia="en-US"/>
    </w:rPr>
  </w:style>
  <w:style w:type="paragraph" w:customStyle="1" w:styleId="TableText">
    <w:name w:val="Table Text"/>
    <w:basedOn w:val="Normal"/>
    <w:rsid w:val="00C2056C"/>
    <w:rPr>
      <w:sz w:val="24"/>
      <w:lang w:eastAsia="en-US"/>
    </w:rPr>
  </w:style>
  <w:style w:type="character" w:styleId="CommentReference">
    <w:name w:val="annotation reference"/>
    <w:basedOn w:val="DefaultParagraphFont"/>
    <w:semiHidden/>
    <w:rsid w:val="007E13AD"/>
    <w:rPr>
      <w:sz w:val="16"/>
      <w:szCs w:val="16"/>
    </w:rPr>
  </w:style>
  <w:style w:type="paragraph" w:styleId="CommentText">
    <w:name w:val="annotation text"/>
    <w:basedOn w:val="Normal"/>
    <w:semiHidden/>
    <w:rsid w:val="007E13AD"/>
    <w:rPr>
      <w:sz w:val="20"/>
    </w:rPr>
  </w:style>
  <w:style w:type="paragraph" w:styleId="CommentSubject">
    <w:name w:val="annotation subject"/>
    <w:basedOn w:val="CommentText"/>
    <w:next w:val="CommentText"/>
    <w:semiHidden/>
    <w:rsid w:val="007E13AD"/>
    <w:rPr>
      <w:b/>
      <w:bCs/>
    </w:rPr>
  </w:style>
  <w:style w:type="paragraph" w:styleId="BalloonText">
    <w:name w:val="Balloon Text"/>
    <w:basedOn w:val="Normal"/>
    <w:semiHidden/>
    <w:rsid w:val="007E13AD"/>
    <w:rPr>
      <w:rFonts w:ascii="Tahoma" w:hAnsi="Tahoma" w:cs="Tahoma"/>
      <w:sz w:val="16"/>
      <w:szCs w:val="16"/>
    </w:rPr>
  </w:style>
  <w:style w:type="paragraph" w:styleId="ListParagraph">
    <w:name w:val="List Paragraph"/>
    <w:basedOn w:val="Normal"/>
    <w:uiPriority w:val="34"/>
    <w:qFormat/>
    <w:rsid w:val="00550C21"/>
    <w:pPr>
      <w:ind w:left="720"/>
      <w:contextualSpacing/>
    </w:pPr>
  </w:style>
  <w:style w:type="character" w:styleId="Hyperlink">
    <w:name w:val="Hyperlink"/>
    <w:uiPriority w:val="99"/>
    <w:unhideWhenUsed/>
    <w:rsid w:val="00CD5EFC"/>
    <w:rPr>
      <w:color w:val="0000FF"/>
      <w:u w:val="single"/>
    </w:rPr>
  </w:style>
  <w:style w:type="character" w:styleId="PlaceholderText">
    <w:name w:val="Placeholder Text"/>
    <w:basedOn w:val="DefaultParagraphFont"/>
    <w:uiPriority w:val="99"/>
    <w:semiHidden/>
    <w:rsid w:val="00005C21"/>
    <w:rPr>
      <w:color w:val="808080"/>
    </w:rPr>
  </w:style>
  <w:style w:type="paragraph" w:customStyle="1" w:styleId="paragraph">
    <w:name w:val="paragraph"/>
    <w:basedOn w:val="Normal"/>
    <w:rsid w:val="00C6248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62485"/>
  </w:style>
  <w:style w:type="character" w:customStyle="1" w:styleId="eop">
    <w:name w:val="eop"/>
    <w:basedOn w:val="DefaultParagraphFont"/>
    <w:rsid w:val="00C62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using-ombudsman.org.uk/centre-for-learning/key-topics/mrc/expectations-for-the-role/" TargetMode="External"/><Relationship Id="rId13" Type="http://schemas.openxmlformats.org/officeDocument/2006/relationships/hyperlink" Target="mailto:gdpr@medway.gov.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lawful-basis-for-processing/criminal-offence-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for-organisations/guide-to-the-general-data-protection-regulation-gdpr/key-definitions/what-is-personal-da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ky.may@gravesham.gov.uk" TargetMode="External"/><Relationship Id="rId14" Type="http://schemas.openxmlformats.org/officeDocument/2006/relationships/hyperlink" Target="mailto:community.involvement@gravesham.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ff97sr2\Template\GBC%20Stationery\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B2E9754A94416AE99D592B51D1A5B"/>
        <w:category>
          <w:name w:val="General"/>
          <w:gallery w:val="placeholder"/>
        </w:category>
        <w:types>
          <w:type w:val="bbPlcHdr"/>
        </w:types>
        <w:behaviors>
          <w:behavior w:val="content"/>
        </w:behaviors>
        <w:guid w:val="{5D58326F-562C-42A6-998B-4AFD667314A5}"/>
      </w:docPartPr>
      <w:docPartBody>
        <w:p w:rsidR="005F4418" w:rsidRDefault="005F4418">
          <w:pPr>
            <w:pStyle w:val="71CB2E9754A94416AE99D592B51D1A5B"/>
          </w:pPr>
          <w:r w:rsidRPr="00AD5F12">
            <w:rPr>
              <w:rStyle w:val="PlaceholderText"/>
            </w:rPr>
            <w:t>Please choose which corporate objective this report relates 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18"/>
    <w:rsid w:val="005F4418"/>
    <w:rsid w:val="00846ACF"/>
    <w:rsid w:val="009D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CB2E9754A94416AE99D592B51D1A5B">
    <w:name w:val="71CB2E9754A94416AE99D592B51D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8B1A-F5F0-413C-907C-23E7E7E3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0</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vt:lpstr>
    </vt:vector>
  </TitlesOfParts>
  <Company>Gravesham Borough Council</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Ben Clarke</dc:creator>
  <cp:keywords/>
  <dc:description/>
  <cp:lastModifiedBy>Emma Mulcrow</cp:lastModifiedBy>
  <cp:revision>2</cp:revision>
  <cp:lastPrinted>2001-11-02T12:01:00Z</cp:lastPrinted>
  <dcterms:created xsi:type="dcterms:W3CDTF">2025-06-16T11:14:00Z</dcterms:created>
  <dcterms:modified xsi:type="dcterms:W3CDTF">2025-06-16T11:14:00Z</dcterms:modified>
</cp:coreProperties>
</file>