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B280" w14:textId="35D14095" w:rsidR="002F279C" w:rsidRPr="00E1284A" w:rsidRDefault="007A36C3" w:rsidP="00E1284A">
      <w:pPr>
        <w:pStyle w:val="Heading1"/>
        <w:rPr>
          <w:b/>
          <w:bCs/>
          <w:sz w:val="40"/>
          <w:szCs w:val="40"/>
        </w:rPr>
      </w:pPr>
      <w:r w:rsidRPr="00E1284A">
        <w:rPr>
          <w:b/>
          <w:bCs/>
          <w:sz w:val="40"/>
          <w:szCs w:val="40"/>
        </w:rPr>
        <w:t>Annual Governance Statement</w:t>
      </w:r>
      <w:bookmarkStart w:id="0" w:name="Introduction"/>
      <w:bookmarkEnd w:id="0"/>
      <w:r w:rsidR="008F7157" w:rsidRPr="00E1284A">
        <w:rPr>
          <w:b/>
          <w:bCs/>
          <w:sz w:val="40"/>
          <w:szCs w:val="40"/>
        </w:rPr>
        <w:t>: 202</w:t>
      </w:r>
      <w:r w:rsidR="002F2187" w:rsidRPr="00E1284A">
        <w:rPr>
          <w:b/>
          <w:bCs/>
          <w:sz w:val="40"/>
          <w:szCs w:val="40"/>
        </w:rPr>
        <w:t>4</w:t>
      </w:r>
      <w:r w:rsidR="00863E62" w:rsidRPr="00E1284A">
        <w:rPr>
          <w:b/>
          <w:bCs/>
          <w:sz w:val="40"/>
          <w:szCs w:val="40"/>
        </w:rPr>
        <w:t>-2</w:t>
      </w:r>
      <w:r w:rsidR="002F2187" w:rsidRPr="00E1284A">
        <w:rPr>
          <w:b/>
          <w:bCs/>
          <w:sz w:val="40"/>
          <w:szCs w:val="40"/>
        </w:rPr>
        <w:t>5</w:t>
      </w:r>
    </w:p>
    <w:p w14:paraId="12FA6EE5" w14:textId="37F0BA3A" w:rsidR="00902F56" w:rsidRPr="00EC7C92" w:rsidRDefault="007A36C3" w:rsidP="00EC7C92">
      <w:pPr>
        <w:pStyle w:val="Heading2"/>
      </w:pPr>
      <w:r w:rsidRPr="00EC7C92">
        <w:t>Introduction</w:t>
      </w:r>
    </w:p>
    <w:p w14:paraId="3B6F5C76" w14:textId="15E60EC4" w:rsidR="00957242" w:rsidRPr="00EC7C92" w:rsidRDefault="00957242" w:rsidP="00EC7C92">
      <w:bookmarkStart w:id="1" w:name="Gravesham_Borough_Council_(GBC)_is_respo"/>
      <w:bookmarkStart w:id="2" w:name="Definition"/>
      <w:bookmarkEnd w:id="1"/>
      <w:bookmarkEnd w:id="2"/>
      <w:r w:rsidRPr="00EC7C92">
        <w:t>Gravesham Borough Council (GBC) is responsible for undertaking its business in accordance with the law and proper standards. In doing so, it needs to ensure that public money is safeguarded, properly accounted for, and used economically, efficiently, and effectively.</w:t>
      </w:r>
    </w:p>
    <w:p w14:paraId="68B07B37" w14:textId="661A3166" w:rsidR="00A7625C" w:rsidRPr="00A7625C" w:rsidRDefault="00A7625C" w:rsidP="00EC7C92">
      <w:r w:rsidRPr="00EC7C92">
        <w:t xml:space="preserve">In discharging this overall responsibility, GBC has established its </w:t>
      </w:r>
      <w:hyperlink r:id="rId7" w:history="1">
        <w:r w:rsidRPr="00EC7C92">
          <w:rPr>
            <w:rStyle w:val="Hyperlink"/>
          </w:rPr>
          <w:t>Code of Corporate Governance</w:t>
        </w:r>
      </w:hyperlink>
      <w:r w:rsidRPr="00EC7C92">
        <w:t xml:space="preserve"> which sets out a commitment as to how the council </w:t>
      </w:r>
      <w:r w:rsidR="004E5D36" w:rsidRPr="00EC7C92">
        <w:t>undertakes</w:t>
      </w:r>
      <w:r w:rsidRPr="00EC7C92">
        <w:t xml:space="preserve"> its functions; the procedures, processes and control environment by which it undertakes to deliver its corporate objectives.</w:t>
      </w:r>
    </w:p>
    <w:p w14:paraId="3FAC50C3" w14:textId="7411B358" w:rsidR="00A7625C" w:rsidRPr="00DE6A83" w:rsidRDefault="00A7625C" w:rsidP="00EC7C92">
      <w:r w:rsidRPr="00EC7C92">
        <w:t xml:space="preserve">Approved by Full Council and adopted into the council’s Constitution, the Code of Corporate Governance is designed to be consistent with the principles of the CIPFA/SOLACE Framework; </w:t>
      </w:r>
      <w:hyperlink r:id="rId8">
        <w:r w:rsidRPr="00EC7C92">
          <w:rPr>
            <w:rStyle w:val="Hyperlink"/>
          </w:rPr>
          <w:t>Delivering Good Governance in Local Government</w:t>
        </w:r>
      </w:hyperlink>
      <w:r w:rsidRPr="00EC7C92">
        <w:t>, inclusive of established best practice e.g. the Seven Principles of Public Life (Nolan principles).</w:t>
      </w:r>
    </w:p>
    <w:p w14:paraId="1DC86CA8" w14:textId="17E9814A" w:rsidR="002C7E83" w:rsidRDefault="002C7E83" w:rsidP="00EC7C92">
      <w:r w:rsidRPr="002C7E83">
        <w:t>Assessed against the council’s adopted Code of Corporate Governance, in</w:t>
      </w:r>
      <w:r>
        <w:t xml:space="preserve"> </w:t>
      </w:r>
      <w:r w:rsidRPr="002C7E83">
        <w:t>compliance with section 6(1)(a) of the Accounts and Audit Regulations 2015,</w:t>
      </w:r>
      <w:r>
        <w:t xml:space="preserve"> </w:t>
      </w:r>
      <w:r w:rsidRPr="002C7E83">
        <w:t>this Annual Governance Statement (AGS) presents the key themes and</w:t>
      </w:r>
      <w:r>
        <w:t xml:space="preserve"> </w:t>
      </w:r>
      <w:r w:rsidRPr="002C7E83">
        <w:t>findings of an annual review into the effectiveness of the council’s</w:t>
      </w:r>
      <w:r>
        <w:t xml:space="preserve"> </w:t>
      </w:r>
      <w:r w:rsidRPr="002C7E83">
        <w:t>governance framework and system of internal control in 2024-25.</w:t>
      </w:r>
    </w:p>
    <w:p w14:paraId="0168B46A" w14:textId="6CD3E448" w:rsidR="002C7E83" w:rsidRPr="002C7E83" w:rsidRDefault="002C7E83" w:rsidP="00EC7C92">
      <w:r w:rsidRPr="002C7E83">
        <w:t>In its delivery, GBC has equally demonstrated its compliance with the</w:t>
      </w:r>
      <w:r>
        <w:t xml:space="preserve"> </w:t>
      </w:r>
      <w:r w:rsidRPr="002C7E83">
        <w:t>requirements of section 6 (1)(b) of the Accounts and Audit Regulations 2015</w:t>
      </w:r>
      <w:r>
        <w:t xml:space="preserve"> </w:t>
      </w:r>
      <w:r w:rsidRPr="002C7E83">
        <w:t>in relation to the presentation of an AGS for the authority in 2024-25.</w:t>
      </w:r>
    </w:p>
    <w:p w14:paraId="3F989F51" w14:textId="2A3A5EB9" w:rsidR="00902F56" w:rsidRPr="00630B92" w:rsidRDefault="007A36C3" w:rsidP="00EC7C92">
      <w:pPr>
        <w:pStyle w:val="Heading2"/>
      </w:pPr>
      <w:r w:rsidRPr="00630B92">
        <w:t>Definition</w:t>
      </w:r>
    </w:p>
    <w:p w14:paraId="06021CEF" w14:textId="68FDD4A6" w:rsidR="002C7E83" w:rsidRPr="002C7E83" w:rsidRDefault="002C7E83" w:rsidP="00EC7C92">
      <w:bookmarkStart w:id="3" w:name="The_governance_framework_comprises_the_s"/>
      <w:bookmarkStart w:id="4" w:name="Environment"/>
      <w:bookmarkEnd w:id="3"/>
      <w:bookmarkEnd w:id="4"/>
      <w:r w:rsidRPr="002C7E83">
        <w:t>The governance framework comprises the systems, processes, cultures and</w:t>
      </w:r>
      <w:r>
        <w:t xml:space="preserve"> </w:t>
      </w:r>
      <w:r w:rsidRPr="002C7E83">
        <w:t>values that direct and control the council and its activities, through which it</w:t>
      </w:r>
      <w:r>
        <w:t xml:space="preserve"> </w:t>
      </w:r>
      <w:r w:rsidRPr="002C7E83">
        <w:t>accounts to, engages with and leads the community. It enables the council</w:t>
      </w:r>
      <w:r>
        <w:t xml:space="preserve"> </w:t>
      </w:r>
      <w:r w:rsidRPr="002C7E83">
        <w:t>to monitor the achievement of its corporate objectives and to consider</w:t>
      </w:r>
      <w:r>
        <w:t xml:space="preserve"> </w:t>
      </w:r>
      <w:r w:rsidRPr="002C7E83">
        <w:t>whether those objectives led to the provision of appropriate, cost-effective</w:t>
      </w:r>
      <w:r w:rsidR="00E1284A">
        <w:t xml:space="preserve"> </w:t>
      </w:r>
      <w:r w:rsidRPr="002C7E83">
        <w:t>services that delivered positive outcomes for local people.</w:t>
      </w:r>
    </w:p>
    <w:p w14:paraId="1376192F" w14:textId="4F9B4705" w:rsidR="002C7E83" w:rsidRPr="002C7E83" w:rsidRDefault="002C7E83" w:rsidP="00EC7C92">
      <w:r w:rsidRPr="002C7E83">
        <w:t>The system of internal control is a significant part of that framework,</w:t>
      </w:r>
      <w:r>
        <w:t xml:space="preserve"> </w:t>
      </w:r>
      <w:r w:rsidRPr="002C7E83">
        <w:t>designed to manage risk to a reasonable level. It cannot eliminate all risk of</w:t>
      </w:r>
      <w:r>
        <w:t xml:space="preserve"> </w:t>
      </w:r>
      <w:r w:rsidRPr="002C7E83">
        <w:t>failure to achieve policies, aims and objectives, and can therefore only</w:t>
      </w:r>
      <w:r>
        <w:t xml:space="preserve"> </w:t>
      </w:r>
      <w:r w:rsidRPr="002C7E83">
        <w:t>provide reasonable and not absolute assurance of effectiveness.</w:t>
      </w:r>
    </w:p>
    <w:p w14:paraId="115E9ACD" w14:textId="6EB923B2" w:rsidR="002C7E83" w:rsidRDefault="002C7E83" w:rsidP="00EC7C92">
      <w:r w:rsidRPr="002C7E83">
        <w:t>The system of internal control is based on an ongoing process designed to</w:t>
      </w:r>
      <w:r>
        <w:t xml:space="preserve"> </w:t>
      </w:r>
      <w:r w:rsidRPr="002C7E83">
        <w:t>identify and prioritise the risks to the achievement of the council’s policies,</w:t>
      </w:r>
      <w:r>
        <w:t xml:space="preserve"> </w:t>
      </w:r>
      <w:r w:rsidRPr="002C7E83">
        <w:t>aims and objectives, to evaluate the likelihood of those risks being realised</w:t>
      </w:r>
      <w:r>
        <w:t xml:space="preserve"> </w:t>
      </w:r>
      <w:r w:rsidRPr="002C7E83">
        <w:t>and the impact should they be realised, and to manage them efficiently,</w:t>
      </w:r>
      <w:r>
        <w:t xml:space="preserve"> </w:t>
      </w:r>
      <w:r w:rsidRPr="002C7E83">
        <w:t>effectively and economically.</w:t>
      </w:r>
    </w:p>
    <w:p w14:paraId="50A918B8" w14:textId="06EF3EE5" w:rsidR="002C7E83" w:rsidRDefault="002C7E83" w:rsidP="00EC7C92">
      <w:r w:rsidRPr="002C7E83">
        <w:t>The governance framework outlined in this AGS has been in place at</w:t>
      </w:r>
      <w:r>
        <w:t xml:space="preserve"> </w:t>
      </w:r>
      <w:r w:rsidRPr="002C7E83">
        <w:t>GBC for the year ended 31 March 2025.</w:t>
      </w:r>
    </w:p>
    <w:p w14:paraId="4BE6DDD2" w14:textId="24C9D9E6" w:rsidR="00D56DB7" w:rsidRDefault="002C7E83" w:rsidP="00EC7C92">
      <w:r w:rsidRPr="002C7E83">
        <w:t>Action 1: The council’s corporate governance framework is based on a set</w:t>
      </w:r>
      <w:r>
        <w:t xml:space="preserve"> </w:t>
      </w:r>
      <w:r w:rsidRPr="002C7E83">
        <w:t>of industry standard principles and adopted best practice. In 2024-25, in</w:t>
      </w:r>
      <w:r>
        <w:t xml:space="preserve"> </w:t>
      </w:r>
      <w:r w:rsidRPr="002C7E83">
        <w:t>addition to CIPFA/SOLACE issuing a refreshed set of corporate governance</w:t>
      </w:r>
      <w:r>
        <w:t xml:space="preserve"> </w:t>
      </w:r>
      <w:r w:rsidRPr="002C7E83">
        <w:t>principles, new Global Internal Audit Standards were also published. These</w:t>
      </w:r>
      <w:r>
        <w:t xml:space="preserve"> </w:t>
      </w:r>
      <w:r w:rsidRPr="002C7E83">
        <w:t>key governance milestones will take effect for the 2025-26 year, and</w:t>
      </w:r>
      <w:r w:rsidR="00E1284A">
        <w:t xml:space="preserve"> </w:t>
      </w:r>
      <w:r w:rsidRPr="002C7E83">
        <w:t xml:space="preserve">therefore a full review of the council’s corporate governance framework </w:t>
      </w:r>
      <w:r w:rsidR="00E1284A" w:rsidRPr="002C7E83">
        <w:t>will</w:t>
      </w:r>
      <w:r w:rsidR="00E1284A">
        <w:t xml:space="preserve"> form</w:t>
      </w:r>
      <w:r w:rsidRPr="002C7E83">
        <w:t xml:space="preserve"> an AGS action for 2025-26.</w:t>
      </w:r>
    </w:p>
    <w:p w14:paraId="19248D94" w14:textId="37316694" w:rsidR="00902F56" w:rsidRPr="00EC7C92" w:rsidRDefault="007A36C3" w:rsidP="00EC7C92">
      <w:pPr>
        <w:pStyle w:val="Heading2"/>
      </w:pPr>
      <w:r w:rsidRPr="00EC7C92">
        <w:lastRenderedPageBreak/>
        <w:t>Environment</w:t>
      </w:r>
    </w:p>
    <w:p w14:paraId="44DAAB79" w14:textId="3FA2AC6D" w:rsidR="008D50E5" w:rsidRPr="008D50E5" w:rsidRDefault="00A7625C" w:rsidP="00EC7C92">
      <w:bookmarkStart w:id="5" w:name="The_council’s_policy-setting_and_decisio"/>
      <w:bookmarkEnd w:id="5"/>
      <w:r w:rsidRPr="008D50E5">
        <w:t xml:space="preserve">The council’s policy-setting and </w:t>
      </w:r>
      <w:r w:rsidR="00EC7C92" w:rsidRPr="008D50E5">
        <w:t>decision</w:t>
      </w:r>
      <w:r w:rsidR="00EC7C92">
        <w:t>-making</w:t>
      </w:r>
      <w:r w:rsidRPr="008D50E5">
        <w:t xml:space="preserve"> process is presented in</w:t>
      </w:r>
      <w:r w:rsidR="008D50E5">
        <w:t xml:space="preserve"> </w:t>
      </w:r>
      <w:r w:rsidR="004950E0">
        <w:t>our</w:t>
      </w:r>
      <w:r w:rsidRPr="008D50E5">
        <w:t xml:space="preserve"> Constitution, with Full Council identified as the ultimate determining</w:t>
      </w:r>
      <w:r w:rsidR="008D50E5">
        <w:t xml:space="preserve"> </w:t>
      </w:r>
      <w:r w:rsidRPr="008D50E5">
        <w:t>body. Cabinet is responsible for most day-to-day decisions within the</w:t>
      </w:r>
      <w:r w:rsidR="008D50E5">
        <w:t xml:space="preserve"> </w:t>
      </w:r>
      <w:r w:rsidRPr="008D50E5">
        <w:t xml:space="preserve">policy framework, </w:t>
      </w:r>
      <w:r w:rsidR="00EC7C92" w:rsidRPr="008D50E5">
        <w:t>subject</w:t>
      </w:r>
      <w:r w:rsidRPr="008D50E5">
        <w:t xml:space="preserve"> to scrutiny by the Overview Scrutiny</w:t>
      </w:r>
      <w:r w:rsidR="008D50E5">
        <w:t xml:space="preserve"> </w:t>
      </w:r>
      <w:r w:rsidRPr="008D50E5">
        <w:t xml:space="preserve">Committee. The Constitution also details </w:t>
      </w:r>
      <w:r w:rsidR="004B10F1">
        <w:t>our</w:t>
      </w:r>
      <w:r w:rsidRPr="008D50E5">
        <w:t xml:space="preserve"> internal financial</w:t>
      </w:r>
      <w:r w:rsidR="008D50E5">
        <w:t xml:space="preserve"> </w:t>
      </w:r>
      <w:r w:rsidRPr="008D50E5">
        <w:t>control framework, including comprehensive contract procedure rules,</w:t>
      </w:r>
      <w:r w:rsidR="008D50E5">
        <w:t xml:space="preserve"> </w:t>
      </w:r>
      <w:r w:rsidRPr="008D50E5">
        <w:t>financial procedure rules and the scheme of delegation. Essential to the</w:t>
      </w:r>
      <w:r w:rsidR="008D50E5">
        <w:t xml:space="preserve"> </w:t>
      </w:r>
      <w:r w:rsidRPr="008D50E5">
        <w:t>discharging of the internal control environment are these appointed roles:</w:t>
      </w:r>
    </w:p>
    <w:p w14:paraId="5B507EE6" w14:textId="77777777" w:rsidR="00EC7C92" w:rsidRDefault="007A36C3" w:rsidP="00EC7C92">
      <w:pPr>
        <w:pStyle w:val="ListParagraph"/>
        <w:numPr>
          <w:ilvl w:val="0"/>
          <w:numId w:val="22"/>
        </w:numPr>
      </w:pPr>
      <w:r w:rsidRPr="00EC7C92">
        <w:t xml:space="preserve">Chief Executive: </w:t>
      </w:r>
      <w:r w:rsidR="008D50E5" w:rsidRPr="00EC7C92">
        <w:t xml:space="preserve">a full-time appointment and the Head of Paid Service, with overall responsibility for the management and coordination of council employees. The role is required to report to Council as appropriate with regard to the way in which the overall discharge by the </w:t>
      </w:r>
      <w:r w:rsidR="004950E0" w:rsidRPr="00EC7C92">
        <w:t>authority</w:t>
      </w:r>
      <w:r w:rsidR="008D50E5" w:rsidRPr="00EC7C92">
        <w:t xml:space="preserve"> of its different functions is coordinated.</w:t>
      </w:r>
    </w:p>
    <w:p w14:paraId="75D7CCDE" w14:textId="77777777" w:rsidR="00EC7C92" w:rsidRDefault="007A36C3" w:rsidP="00EC7C92">
      <w:pPr>
        <w:pStyle w:val="ListParagraph"/>
        <w:numPr>
          <w:ilvl w:val="0"/>
          <w:numId w:val="22"/>
        </w:numPr>
      </w:pPr>
      <w:r w:rsidRPr="00EC7C92">
        <w:t xml:space="preserve">Section 151 </w:t>
      </w:r>
      <w:r w:rsidR="004950E0" w:rsidRPr="00EC7C92">
        <w:t xml:space="preserve">(s151) </w:t>
      </w:r>
      <w:r w:rsidRPr="00EC7C92">
        <w:t xml:space="preserve">Officer: the s151 officer is the Director (Corporate Services) and the Deputy </w:t>
      </w:r>
      <w:r w:rsidR="004950E0" w:rsidRPr="00EC7C92">
        <w:t>s</w:t>
      </w:r>
      <w:r w:rsidRPr="00EC7C92">
        <w:t xml:space="preserve">151 Officer is the Assistant Director (Corporate Services). The </w:t>
      </w:r>
      <w:r w:rsidR="004950E0" w:rsidRPr="00EC7C92">
        <w:t>s151</w:t>
      </w:r>
      <w:r w:rsidRPr="00EC7C92">
        <w:t xml:space="preserve"> Officer has completed a specific Chief Financial Officer assurance statement which sets out how the council has complied with CIPFA’s </w:t>
      </w:r>
      <w:hyperlink r:id="rId9">
        <w:r w:rsidRPr="00EC7C92">
          <w:rPr>
            <w:rStyle w:val="Hyperlink"/>
          </w:rPr>
          <w:t>Role of the</w:t>
        </w:r>
      </w:hyperlink>
      <w:r w:rsidR="008D50E5" w:rsidRPr="00EC7C92">
        <w:t xml:space="preserve"> </w:t>
      </w:r>
      <w:hyperlink r:id="rId10">
        <w:r w:rsidRPr="00EC7C92">
          <w:rPr>
            <w:rStyle w:val="Hyperlink"/>
          </w:rPr>
          <w:t xml:space="preserve">Chief Financial Officer in Local Government </w:t>
        </w:r>
      </w:hyperlink>
      <w:r w:rsidRPr="00EC7C92">
        <w:t>in 202</w:t>
      </w:r>
      <w:r w:rsidR="002C7E83" w:rsidRPr="00EC7C92">
        <w:t>4</w:t>
      </w:r>
      <w:r w:rsidRPr="00EC7C92">
        <w:t>-2</w:t>
      </w:r>
      <w:r w:rsidR="002C7E83" w:rsidRPr="00EC7C92">
        <w:t>5</w:t>
      </w:r>
      <w:r w:rsidRPr="00EC7C92">
        <w:t xml:space="preserve">, as well as how it has met its </w:t>
      </w:r>
      <w:r w:rsidR="00E37DAC" w:rsidRPr="00EC7C92">
        <w:t>s151</w:t>
      </w:r>
      <w:r w:rsidR="00240E8E" w:rsidRPr="00EC7C92">
        <w:t xml:space="preserve"> </w:t>
      </w:r>
      <w:r w:rsidRPr="00EC7C92">
        <w:t>obligations.</w:t>
      </w:r>
      <w:bookmarkStart w:id="6" w:name="_Monitoring_Officer:_ensures_the_lawful"/>
      <w:bookmarkEnd w:id="6"/>
    </w:p>
    <w:p w14:paraId="43782AA4" w14:textId="2637E4FB" w:rsidR="004672D4" w:rsidRPr="00E1284A" w:rsidRDefault="007A36C3" w:rsidP="00E1284A">
      <w:pPr>
        <w:pStyle w:val="ListParagraph"/>
        <w:numPr>
          <w:ilvl w:val="0"/>
          <w:numId w:val="22"/>
        </w:numPr>
      </w:pPr>
      <w:r w:rsidRPr="00EC7C92">
        <w:t>Monitoring Officer: ensures the lawfulness and integrity of the council’s decision- making processes, supports the work of the Standards Committee and the investigation and reporting on issues that embrace all aspects of the authority’s governance.</w:t>
      </w:r>
      <w:r w:rsidR="003178D4" w:rsidRPr="00EC7C92">
        <w:t xml:space="preserve"> </w:t>
      </w:r>
      <w:bookmarkStart w:id="7" w:name="Action:_The_Constitution_is_an_integral_"/>
      <w:bookmarkEnd w:id="7"/>
    </w:p>
    <w:p w14:paraId="0587D11B" w14:textId="40B62B82" w:rsidR="002C7E83" w:rsidRPr="002C7E83" w:rsidRDefault="007A36C3" w:rsidP="00EC7C92">
      <w:r w:rsidRPr="00F819F7">
        <w:t>Action</w:t>
      </w:r>
      <w:r w:rsidR="008C143B" w:rsidRPr="00F819F7">
        <w:t xml:space="preserve"> </w:t>
      </w:r>
      <w:r w:rsidR="002C7E83">
        <w:t xml:space="preserve">2: </w:t>
      </w:r>
      <w:r w:rsidR="002C7E83" w:rsidRPr="002C7E83">
        <w:t>Government guidance relating to cultural and governance failings</w:t>
      </w:r>
      <w:r w:rsidR="002C7E83">
        <w:t xml:space="preserve"> </w:t>
      </w:r>
      <w:r w:rsidR="002C7E83" w:rsidRPr="002C7E83">
        <w:t>in local authorities identifies the requirement for a fully effective scrutiny</w:t>
      </w:r>
      <w:r w:rsidR="002C7E83">
        <w:t xml:space="preserve"> </w:t>
      </w:r>
      <w:r w:rsidR="002C7E83" w:rsidRPr="002C7E83">
        <w:t>function to ensure a robust operating environment. In 2024-25, the council’s</w:t>
      </w:r>
      <w:r w:rsidR="002C7E83">
        <w:t xml:space="preserve"> </w:t>
      </w:r>
      <w:r w:rsidR="002C7E83" w:rsidRPr="002C7E83">
        <w:t>Overview Scrutiny Committee met for three of nine scheduled meetings.</w:t>
      </w:r>
      <w:r w:rsidR="002C7E83">
        <w:t xml:space="preserve"> </w:t>
      </w:r>
      <w:r w:rsidR="002C7E83" w:rsidRPr="002C7E83">
        <w:t>Aligned to that, the committee currently does not have an operational</w:t>
      </w:r>
    </w:p>
    <w:p w14:paraId="5EE1ACB7" w14:textId="3D751EFD" w:rsidR="00902F56" w:rsidRPr="002C7E83" w:rsidRDefault="002C7E83" w:rsidP="00EC7C92">
      <w:r w:rsidRPr="002C7E83">
        <w:t>programme of works, traditionally delivered through an adopted programme</w:t>
      </w:r>
      <w:r>
        <w:t xml:space="preserve"> </w:t>
      </w:r>
      <w:r w:rsidRPr="002C7E83">
        <w:t>of policy reviews. Supported by the provision of full Member awareness</w:t>
      </w:r>
      <w:r>
        <w:t xml:space="preserve"> </w:t>
      </w:r>
      <w:r w:rsidRPr="002C7E83">
        <w:t>training via Centre for Governance and Scrutiny, 2025-26 will see a</w:t>
      </w:r>
      <w:r>
        <w:t xml:space="preserve"> </w:t>
      </w:r>
      <w:r w:rsidRPr="002C7E83">
        <w:t>renewed focus on the provision of an effective Overview Scrutiny Committee for the authority.</w:t>
      </w:r>
    </w:p>
    <w:p w14:paraId="16EFFACA" w14:textId="08D88FA0" w:rsidR="00EC7C92" w:rsidRPr="00EC7C92" w:rsidRDefault="007A36C3" w:rsidP="00E1284A">
      <w:pPr>
        <w:pStyle w:val="Heading2"/>
      </w:pPr>
      <w:bookmarkStart w:id="8" w:name="Vision"/>
      <w:bookmarkEnd w:id="8"/>
      <w:r w:rsidRPr="00A747DD">
        <w:t>Vision</w:t>
      </w:r>
      <w:bookmarkStart w:id="9" w:name="We_have_a_corporate_vision_in_place_for_"/>
      <w:bookmarkEnd w:id="9"/>
    </w:p>
    <w:p w14:paraId="749119F5" w14:textId="3511D9AD" w:rsidR="001A14B7" w:rsidRPr="00EC7C92" w:rsidRDefault="007A36C3" w:rsidP="00EC7C92">
      <w:r w:rsidRPr="00EC7C92">
        <w:t>We have a c</w:t>
      </w:r>
      <w:r w:rsidR="00E37DAC" w:rsidRPr="00EC7C92">
        <w:t xml:space="preserve">lear ambition </w:t>
      </w:r>
      <w:r w:rsidRPr="00EC7C92">
        <w:t xml:space="preserve">for the borough. As a statement of </w:t>
      </w:r>
      <w:r w:rsidR="00E37DAC" w:rsidRPr="00EC7C92">
        <w:t>our</w:t>
      </w:r>
      <w:r w:rsidRPr="00EC7C92">
        <w:t xml:space="preserve"> </w:t>
      </w:r>
      <w:r w:rsidR="00F65462" w:rsidRPr="00EC7C92">
        <w:t xml:space="preserve">intent </w:t>
      </w:r>
      <w:r w:rsidRPr="00EC7C92">
        <w:t xml:space="preserve">to work towards this we have established a </w:t>
      </w:r>
      <w:hyperlink r:id="rId11" w:history="1">
        <w:r w:rsidRPr="00EC7C92">
          <w:rPr>
            <w:rStyle w:val="Hyperlink"/>
          </w:rPr>
          <w:t xml:space="preserve">Corporate Plan </w:t>
        </w:r>
        <w:r w:rsidR="007C0994" w:rsidRPr="00EC7C92">
          <w:rPr>
            <w:rStyle w:val="Hyperlink"/>
          </w:rPr>
          <w:t>2023-27</w:t>
        </w:r>
      </w:hyperlink>
      <w:r w:rsidRPr="00EC7C92">
        <w:t xml:space="preserve">. </w:t>
      </w:r>
    </w:p>
    <w:p w14:paraId="109B0FC6" w14:textId="19190F4E" w:rsidR="007C0994" w:rsidRDefault="001A14B7" w:rsidP="00EC7C92">
      <w:pPr>
        <w:rPr>
          <w:rFonts w:eastAsia="Times New Roman"/>
          <w:b/>
          <w:bCs/>
          <w:color w:val="343E46"/>
          <w:sz w:val="24"/>
          <w:szCs w:val="24"/>
          <w:lang w:eastAsia="en-GB"/>
        </w:rPr>
      </w:pPr>
      <w:r w:rsidRPr="001A14B7">
        <w:t xml:space="preserve">Designed on </w:t>
      </w:r>
      <w:r w:rsidR="00EC7C92" w:rsidRPr="001A14B7">
        <w:t>extensive evidence</w:t>
      </w:r>
      <w:r w:rsidRPr="001A14B7">
        <w:t xml:space="preserve"> base </w:t>
      </w:r>
      <w:r w:rsidR="00EC7C92" w:rsidRPr="001A14B7">
        <w:t>including</w:t>
      </w:r>
      <w:r w:rsidRPr="001A14B7">
        <w:t xml:space="preserve"> a community consultation</w:t>
      </w:r>
      <w:r w:rsidR="004B10F1">
        <w:t>;</w:t>
      </w:r>
      <w:r w:rsidRPr="001A14B7">
        <w:t xml:space="preserve"> a community needs study</w:t>
      </w:r>
      <w:r w:rsidR="004B10F1">
        <w:t>;</w:t>
      </w:r>
      <w:r w:rsidRPr="001A14B7">
        <w:t xml:space="preserve"> and the primary manifesto aims of the elected </w:t>
      </w:r>
      <w:r w:rsidR="00EC7C92" w:rsidRPr="001A14B7">
        <w:t>administration;</w:t>
      </w:r>
      <w:r w:rsidRPr="001A14B7">
        <w:t xml:space="preserve"> the Corporate Plan </w:t>
      </w:r>
      <w:r w:rsidR="00F65462">
        <w:t xml:space="preserve">presents </w:t>
      </w:r>
      <w:r w:rsidRPr="001A14B7">
        <w:t>three clearly defined strategic objectives</w:t>
      </w:r>
      <w:r w:rsidR="00F65462" w:rsidRPr="00F65462">
        <w:t xml:space="preserve"> </w:t>
      </w:r>
      <w:r w:rsidR="00F65462" w:rsidRPr="001A14B7">
        <w:t>t</w:t>
      </w:r>
      <w:r w:rsidR="00F65462">
        <w:t xml:space="preserve">hat </w:t>
      </w:r>
      <w:r w:rsidR="00F65462" w:rsidRPr="001A14B7">
        <w:t xml:space="preserve">provide a framework for </w:t>
      </w:r>
      <w:r w:rsidR="00F65462">
        <w:t>our</w:t>
      </w:r>
      <w:r w:rsidR="00F65462" w:rsidRPr="001A14B7">
        <w:t xml:space="preserve"> activities</w:t>
      </w:r>
      <w:r w:rsidRPr="001A14B7">
        <w:t>:</w:t>
      </w:r>
    </w:p>
    <w:p w14:paraId="044C7EF2" w14:textId="3E931196" w:rsidR="007C0994" w:rsidRPr="007C0994" w:rsidRDefault="007C0994" w:rsidP="00EC7C92">
      <w:pPr>
        <w:pStyle w:val="ListParagraph"/>
        <w:numPr>
          <w:ilvl w:val="0"/>
          <w:numId w:val="19"/>
        </w:numPr>
      </w:pPr>
      <w:r w:rsidRPr="007C0994">
        <w:rPr>
          <w:b/>
          <w:bCs/>
        </w:rPr>
        <w:t>#oneborough</w:t>
      </w:r>
      <w:r w:rsidRPr="007C0994">
        <w:t>: a safe, clean, and attractive living environment, enhanced by a sustainable and increasingly energised local economy.</w:t>
      </w:r>
    </w:p>
    <w:p w14:paraId="4F4390F1" w14:textId="2B167F29" w:rsidR="007C0994" w:rsidRPr="007C0994" w:rsidRDefault="007C0994" w:rsidP="00EC7C92">
      <w:pPr>
        <w:pStyle w:val="ListParagraph"/>
        <w:numPr>
          <w:ilvl w:val="0"/>
          <w:numId w:val="19"/>
        </w:numPr>
      </w:pPr>
      <w:r w:rsidRPr="00EC7C92">
        <w:rPr>
          <w:b/>
          <w:bCs/>
        </w:rPr>
        <w:t>#onecommunity</w:t>
      </w:r>
      <w:r w:rsidRPr="007C0994">
        <w:t>: an active, engaged, and culturally enriched population, built on the foundations of an affordable and quality local housing offer.</w:t>
      </w:r>
    </w:p>
    <w:p w14:paraId="6E1C3D0C" w14:textId="77777777" w:rsidR="007C0994" w:rsidRPr="007C0994" w:rsidRDefault="007C0994" w:rsidP="00EC7C92">
      <w:pPr>
        <w:pStyle w:val="ListParagraph"/>
        <w:numPr>
          <w:ilvl w:val="0"/>
          <w:numId w:val="19"/>
        </w:numPr>
      </w:pPr>
      <w:r w:rsidRPr="00EC7C92">
        <w:rPr>
          <w:b/>
          <w:bCs/>
        </w:rPr>
        <w:t>#onecouncil</w:t>
      </w:r>
      <w:r w:rsidRPr="007C0994">
        <w:t>: a well-run and innovative authority, defined by its skilled and valued workforce, committed to developing its local social impact.</w:t>
      </w:r>
    </w:p>
    <w:p w14:paraId="1E6B4D06" w14:textId="613137E9" w:rsidR="005A52B1" w:rsidRPr="00F819F7" w:rsidRDefault="00D47DD1" w:rsidP="00E1284A">
      <w:r w:rsidRPr="00A35D0B">
        <w:t>Departmental business plans are established to translate the corporate</w:t>
      </w:r>
      <w:r w:rsidR="00A35D0B">
        <w:t xml:space="preserve"> </w:t>
      </w:r>
      <w:r w:rsidRPr="00A35D0B">
        <w:t>objectives into appropriately planned and resourced strategies, projects,</w:t>
      </w:r>
      <w:r w:rsidR="00A35D0B">
        <w:t xml:space="preserve"> </w:t>
      </w:r>
      <w:r w:rsidRPr="00A35D0B">
        <w:t xml:space="preserve">and interventions. Elected Councillors are ultimately </w:t>
      </w:r>
      <w:r w:rsidRPr="00A35D0B">
        <w:lastRenderedPageBreak/>
        <w:t>responsible for the</w:t>
      </w:r>
      <w:r w:rsidR="00A35D0B">
        <w:t xml:space="preserve"> </w:t>
      </w:r>
      <w:r w:rsidRPr="00A35D0B">
        <w:t>delivery of the council’s corporate objectives, and this is facilitated through</w:t>
      </w:r>
      <w:r w:rsidR="00A35D0B">
        <w:t xml:space="preserve"> </w:t>
      </w:r>
      <w:r w:rsidRPr="00A35D0B">
        <w:t>strong communication channels between Members and officers.</w:t>
      </w:r>
    </w:p>
    <w:p w14:paraId="700F9865" w14:textId="5035A543" w:rsidR="00A35D0B" w:rsidRDefault="00D265D2" w:rsidP="00EC7C92">
      <w:bookmarkStart w:id="10" w:name="_Hlk103082111"/>
      <w:r w:rsidRPr="00D56DB7">
        <w:t xml:space="preserve">Action </w:t>
      </w:r>
      <w:r w:rsidR="00A35D0B">
        <w:t>3</w:t>
      </w:r>
      <w:r w:rsidRPr="00D56DB7">
        <w:t xml:space="preserve">: </w:t>
      </w:r>
      <w:bookmarkStart w:id="11" w:name="Performance"/>
      <w:bookmarkEnd w:id="10"/>
      <w:bookmarkEnd w:id="11"/>
      <w:r w:rsidR="00A35D0B" w:rsidRPr="00A35D0B">
        <w:t>Working in conjunction with the Corporate Plan and the strategic</w:t>
      </w:r>
      <w:r w:rsidR="00A35D0B">
        <w:t xml:space="preserve"> </w:t>
      </w:r>
      <w:r w:rsidR="00A35D0B" w:rsidRPr="00A35D0B">
        <w:t xml:space="preserve">vision for the borough presented via Gravesham 2040 is the council’s </w:t>
      </w:r>
      <w:hyperlink r:id="rId12" w:history="1">
        <w:r w:rsidR="00A35D0B" w:rsidRPr="00A35D0B">
          <w:rPr>
            <w:rStyle w:val="Hyperlink"/>
            <w:rFonts w:eastAsiaTheme="minorHAnsi"/>
          </w:rPr>
          <w:t>Local Plan</w:t>
        </w:r>
      </w:hyperlink>
      <w:r w:rsidR="00A35D0B" w:rsidRPr="00A35D0B">
        <w:t xml:space="preserve">. Underpinned by a </w:t>
      </w:r>
      <w:hyperlink r:id="rId13" w:history="1">
        <w:r w:rsidR="00A35D0B" w:rsidRPr="00A35D0B">
          <w:rPr>
            <w:rStyle w:val="Hyperlink"/>
            <w:rFonts w:eastAsiaTheme="minorHAnsi"/>
          </w:rPr>
          <w:t>Local Development Scheme</w:t>
        </w:r>
      </w:hyperlink>
      <w:r w:rsidR="00A35D0B" w:rsidRPr="00A35D0B">
        <w:t>, the Local Plan sets</w:t>
      </w:r>
      <w:r w:rsidR="00A35D0B">
        <w:t xml:space="preserve"> </w:t>
      </w:r>
      <w:r w:rsidR="00A35D0B" w:rsidRPr="00A35D0B">
        <w:t>out the statutory spatial framework for growth and development in the</w:t>
      </w:r>
      <w:r w:rsidR="00A35D0B">
        <w:t xml:space="preserve"> </w:t>
      </w:r>
      <w:r w:rsidR="00A35D0B" w:rsidRPr="00A35D0B">
        <w:t xml:space="preserve">borough across; housing needs, commercial, public and </w:t>
      </w:r>
      <w:r w:rsidR="00E1284A" w:rsidRPr="00A35D0B">
        <w:t>private development</w:t>
      </w:r>
      <w:r w:rsidR="00A35D0B" w:rsidRPr="00A35D0B">
        <w:t>, including transport infrastructure, and protection for the local</w:t>
      </w:r>
      <w:r w:rsidR="00A35D0B">
        <w:t xml:space="preserve"> </w:t>
      </w:r>
      <w:r w:rsidR="00A35D0B" w:rsidRPr="00A35D0B">
        <w:t>environment.</w:t>
      </w:r>
    </w:p>
    <w:p w14:paraId="09AE9DA1" w14:textId="1A0B7CD5" w:rsidR="00467F15" w:rsidRDefault="00A35D0B" w:rsidP="00EC7C92">
      <w:r w:rsidRPr="00A35D0B">
        <w:t>A key point of reference in the council’s constituted Policy Framework, the</w:t>
      </w:r>
      <w:r>
        <w:t xml:space="preserve"> </w:t>
      </w:r>
      <w:r w:rsidRPr="00A35D0B">
        <w:t>delivery of a new Local Plan is an essential governance control and work</w:t>
      </w:r>
      <w:r>
        <w:t xml:space="preserve"> </w:t>
      </w:r>
      <w:r w:rsidRPr="00A35D0B">
        <w:t>towards this will therefore form an AGS recommendation for the council in 2025-26.</w:t>
      </w:r>
    </w:p>
    <w:p w14:paraId="38B38602" w14:textId="77777777" w:rsidR="00EC7C92" w:rsidRDefault="007A36C3" w:rsidP="00EC7C92">
      <w:pPr>
        <w:pStyle w:val="Heading2"/>
      </w:pPr>
      <w:r w:rsidRPr="000951FC">
        <w:t>Performance</w:t>
      </w:r>
      <w:bookmarkStart w:id="12" w:name="Our_adopted_Corporate_Plan_presented_a_n"/>
      <w:bookmarkEnd w:id="12"/>
    </w:p>
    <w:p w14:paraId="26FD75D3" w14:textId="7AA15374" w:rsidR="00557B41" w:rsidRDefault="00557B41" w:rsidP="00EC7C92">
      <w:r w:rsidRPr="00EC7C92">
        <w:t>Cabinet drives the successful implementation of the Corporate Plan, with responsibility for working with and holding council officers to account in the delivery of the three adopted strategic objectives. The council recognizes that it cannot achieve its vision for the borough on its own and is increasingly working together with partners to achieve these objectives</w:t>
      </w:r>
      <w:r w:rsidRPr="00557B41">
        <w:t>.</w:t>
      </w:r>
    </w:p>
    <w:p w14:paraId="6E14F5FC" w14:textId="055296E3" w:rsidR="00557B41" w:rsidRDefault="00557B41" w:rsidP="00EC7C92">
      <w:r w:rsidRPr="00557B41">
        <w:t>In doing so, our adopted Corporate Plan presented a new Performance</w:t>
      </w:r>
      <w:r>
        <w:t xml:space="preserve"> </w:t>
      </w:r>
      <w:r w:rsidRPr="00557B41">
        <w:t>Management Framework (PMF), allowing the authority to critically evaluate</w:t>
      </w:r>
      <w:r>
        <w:t xml:space="preserve"> </w:t>
      </w:r>
      <w:r w:rsidRPr="00557B41">
        <w:t>progress against its stated objectives, provide industry intelligence to drive</w:t>
      </w:r>
      <w:r>
        <w:t xml:space="preserve"> </w:t>
      </w:r>
      <w:r w:rsidRPr="00557B41">
        <w:t>service transformation and, for residents, it delivers genuine scrutiny in how</w:t>
      </w:r>
      <w:r>
        <w:t xml:space="preserve"> </w:t>
      </w:r>
      <w:r w:rsidRPr="00557B41">
        <w:t>successful the council is in administering its resources.</w:t>
      </w:r>
    </w:p>
    <w:p w14:paraId="1B827B61" w14:textId="07DAD2AE" w:rsidR="00B14C69" w:rsidRDefault="00557B41" w:rsidP="00EC7C92">
      <w:r w:rsidRPr="00557B41">
        <w:t>Central to the delivery of the PMF is a commitment to a transparent</w:t>
      </w:r>
      <w:r>
        <w:t xml:space="preserve"> </w:t>
      </w:r>
      <w:r w:rsidRPr="00557B41">
        <w:t>performance monitoring and reporting process at all levels, both in regard to</w:t>
      </w:r>
      <w:r>
        <w:t xml:space="preserve"> </w:t>
      </w:r>
      <w:r w:rsidRPr="00557B41">
        <w:t>the authority and the personal development of officers, an agenda</w:t>
      </w:r>
      <w:r>
        <w:t xml:space="preserve"> </w:t>
      </w:r>
      <w:r w:rsidRPr="00557B41">
        <w:t>successfully realised in 2024-25.</w:t>
      </w:r>
    </w:p>
    <w:p w14:paraId="028E4A54" w14:textId="557BC253" w:rsidR="00B14C69" w:rsidRPr="00EC7C92" w:rsidRDefault="007A36C3" w:rsidP="00EC7C92">
      <w:pPr>
        <w:pStyle w:val="BodyText"/>
        <w:numPr>
          <w:ilvl w:val="0"/>
          <w:numId w:val="13"/>
        </w:numPr>
        <w:rPr>
          <w:spacing w:val="-2"/>
          <w:sz w:val="22"/>
          <w:szCs w:val="22"/>
        </w:rPr>
      </w:pPr>
      <w:r w:rsidRPr="00EC7C92">
        <w:rPr>
          <w:bCs/>
          <w:sz w:val="22"/>
          <w:szCs w:val="22"/>
        </w:rPr>
        <w:t>Quarterly:</w:t>
      </w:r>
      <w:r w:rsidRPr="00EC7C92">
        <w:rPr>
          <w:sz w:val="22"/>
          <w:szCs w:val="22"/>
        </w:rPr>
        <w:t xml:space="preserve"> Performance reports of all tiers of indicators to </w:t>
      </w:r>
      <w:r w:rsidR="004B10F1" w:rsidRPr="00EC7C92">
        <w:rPr>
          <w:sz w:val="22"/>
          <w:szCs w:val="22"/>
        </w:rPr>
        <w:t xml:space="preserve">the </w:t>
      </w:r>
      <w:r w:rsidRPr="00EC7C92">
        <w:rPr>
          <w:sz w:val="22"/>
          <w:szCs w:val="22"/>
        </w:rPr>
        <w:t>Corporate Management Team</w:t>
      </w:r>
      <w:r w:rsidRPr="00EC7C92">
        <w:rPr>
          <w:spacing w:val="-5"/>
          <w:sz w:val="22"/>
          <w:szCs w:val="22"/>
        </w:rPr>
        <w:t xml:space="preserve"> </w:t>
      </w:r>
      <w:r w:rsidRPr="00EC7C92">
        <w:rPr>
          <w:sz w:val="22"/>
          <w:szCs w:val="22"/>
        </w:rPr>
        <w:t>(CMT).</w:t>
      </w:r>
      <w:r w:rsidRPr="00EC7C92">
        <w:rPr>
          <w:spacing w:val="-4"/>
          <w:sz w:val="22"/>
          <w:szCs w:val="22"/>
        </w:rPr>
        <w:t xml:space="preserve"> </w:t>
      </w:r>
      <w:r w:rsidRPr="00EC7C92">
        <w:rPr>
          <w:sz w:val="22"/>
          <w:szCs w:val="22"/>
        </w:rPr>
        <w:t>Subsequently</w:t>
      </w:r>
      <w:r w:rsidRPr="00EC7C92">
        <w:rPr>
          <w:spacing w:val="-3"/>
          <w:sz w:val="22"/>
          <w:szCs w:val="22"/>
        </w:rPr>
        <w:t xml:space="preserve"> </w:t>
      </w:r>
      <w:r w:rsidRPr="00EC7C92">
        <w:rPr>
          <w:sz w:val="22"/>
          <w:szCs w:val="22"/>
        </w:rPr>
        <w:t>reported</w:t>
      </w:r>
      <w:r w:rsidRPr="00EC7C92">
        <w:rPr>
          <w:spacing w:val="-6"/>
          <w:sz w:val="22"/>
          <w:szCs w:val="22"/>
        </w:rPr>
        <w:t xml:space="preserve"> </w:t>
      </w:r>
      <w:r w:rsidRPr="00EC7C92">
        <w:rPr>
          <w:sz w:val="22"/>
          <w:szCs w:val="22"/>
        </w:rPr>
        <w:t>to</w:t>
      </w:r>
      <w:r w:rsidRPr="00EC7C92">
        <w:rPr>
          <w:spacing w:val="-6"/>
          <w:sz w:val="22"/>
          <w:szCs w:val="22"/>
        </w:rPr>
        <w:t xml:space="preserve"> </w:t>
      </w:r>
      <w:r w:rsidRPr="00EC7C92">
        <w:rPr>
          <w:sz w:val="22"/>
          <w:szCs w:val="22"/>
        </w:rPr>
        <w:t>Cabinet</w:t>
      </w:r>
      <w:r w:rsidRPr="00EC7C92">
        <w:rPr>
          <w:spacing w:val="-7"/>
          <w:sz w:val="22"/>
          <w:szCs w:val="22"/>
        </w:rPr>
        <w:t xml:space="preserve"> </w:t>
      </w:r>
      <w:r w:rsidRPr="00EC7C92">
        <w:rPr>
          <w:sz w:val="22"/>
          <w:szCs w:val="22"/>
        </w:rPr>
        <w:t>and</w:t>
      </w:r>
      <w:r w:rsidRPr="00EC7C92">
        <w:rPr>
          <w:spacing w:val="-4"/>
          <w:sz w:val="22"/>
          <w:szCs w:val="22"/>
        </w:rPr>
        <w:t xml:space="preserve"> </w:t>
      </w:r>
      <w:r w:rsidRPr="00EC7C92">
        <w:rPr>
          <w:sz w:val="22"/>
          <w:szCs w:val="22"/>
        </w:rPr>
        <w:t>individual</w:t>
      </w:r>
      <w:r w:rsidRPr="00EC7C92">
        <w:rPr>
          <w:spacing w:val="-4"/>
          <w:sz w:val="22"/>
          <w:szCs w:val="22"/>
        </w:rPr>
        <w:t xml:space="preserve"> </w:t>
      </w:r>
      <w:r w:rsidRPr="00EC7C92">
        <w:rPr>
          <w:sz w:val="22"/>
          <w:szCs w:val="22"/>
        </w:rPr>
        <w:t>Cabinet</w:t>
      </w:r>
      <w:r w:rsidRPr="00EC7C92">
        <w:rPr>
          <w:spacing w:val="-2"/>
          <w:sz w:val="22"/>
          <w:szCs w:val="22"/>
        </w:rPr>
        <w:t xml:space="preserve"> </w:t>
      </w:r>
      <w:r w:rsidRPr="00EC7C92">
        <w:rPr>
          <w:sz w:val="22"/>
          <w:szCs w:val="22"/>
        </w:rPr>
        <w:t xml:space="preserve">Committees for consideration and scrutiny, prior to publishing to the council’s digital platforms </w:t>
      </w:r>
      <w:bookmarkStart w:id="13" w:name="_Yearly:_Annual_report_against_all_perf"/>
      <w:bookmarkEnd w:id="13"/>
      <w:r w:rsidRPr="00EC7C92">
        <w:rPr>
          <w:sz w:val="22"/>
          <w:szCs w:val="22"/>
        </w:rPr>
        <w:t xml:space="preserve">and </w:t>
      </w:r>
      <w:r w:rsidR="00DD038E" w:rsidRPr="00EC7C92">
        <w:rPr>
          <w:sz w:val="22"/>
          <w:szCs w:val="22"/>
        </w:rPr>
        <w:t xml:space="preserve">summarised in </w:t>
      </w:r>
      <w:r w:rsidRPr="00EC7C92">
        <w:rPr>
          <w:i/>
          <w:sz w:val="22"/>
          <w:szCs w:val="22"/>
        </w:rPr>
        <w:t xml:space="preserve">Your Borough </w:t>
      </w:r>
      <w:r w:rsidRPr="00EC7C92">
        <w:rPr>
          <w:sz w:val="22"/>
          <w:szCs w:val="22"/>
        </w:rPr>
        <w:t>magazine.</w:t>
      </w:r>
    </w:p>
    <w:p w14:paraId="4465B4AB" w14:textId="69E07986" w:rsidR="00902F56" w:rsidRPr="00EC7C92" w:rsidRDefault="007A36C3" w:rsidP="00EC7C92">
      <w:pPr>
        <w:pStyle w:val="BodyText"/>
        <w:numPr>
          <w:ilvl w:val="0"/>
          <w:numId w:val="13"/>
        </w:numPr>
        <w:rPr>
          <w:sz w:val="22"/>
          <w:szCs w:val="22"/>
        </w:rPr>
      </w:pPr>
      <w:r w:rsidRPr="00EC7C92">
        <w:rPr>
          <w:bCs/>
          <w:sz w:val="22"/>
          <w:szCs w:val="22"/>
        </w:rPr>
        <w:t>Yearly:</w:t>
      </w:r>
      <w:r w:rsidRPr="00EC7C92">
        <w:rPr>
          <w:sz w:val="22"/>
          <w:szCs w:val="22"/>
        </w:rPr>
        <w:t xml:space="preserve"> Annual </w:t>
      </w:r>
      <w:r w:rsidR="00D83813" w:rsidRPr="00EC7C92">
        <w:rPr>
          <w:sz w:val="22"/>
          <w:szCs w:val="22"/>
        </w:rPr>
        <w:t>Performance R</w:t>
      </w:r>
      <w:r w:rsidRPr="00EC7C92">
        <w:rPr>
          <w:sz w:val="22"/>
          <w:szCs w:val="22"/>
        </w:rPr>
        <w:t>eport against all performance indicators, including an outline of relevant</w:t>
      </w:r>
      <w:r w:rsidRPr="00EC7C92">
        <w:rPr>
          <w:spacing w:val="-1"/>
          <w:sz w:val="22"/>
          <w:szCs w:val="22"/>
        </w:rPr>
        <w:t xml:space="preserve"> </w:t>
      </w:r>
      <w:r w:rsidRPr="00EC7C92">
        <w:rPr>
          <w:sz w:val="22"/>
          <w:szCs w:val="22"/>
        </w:rPr>
        <w:t>achievements</w:t>
      </w:r>
      <w:r w:rsidRPr="00EC7C92">
        <w:rPr>
          <w:spacing w:val="-2"/>
          <w:sz w:val="22"/>
          <w:szCs w:val="22"/>
        </w:rPr>
        <w:t xml:space="preserve"> </w:t>
      </w:r>
      <w:r w:rsidRPr="00EC7C92">
        <w:rPr>
          <w:sz w:val="22"/>
          <w:szCs w:val="22"/>
        </w:rPr>
        <w:t>directly</w:t>
      </w:r>
      <w:r w:rsidRPr="00EC7C92">
        <w:rPr>
          <w:spacing w:val="-5"/>
          <w:sz w:val="22"/>
          <w:szCs w:val="22"/>
        </w:rPr>
        <w:t xml:space="preserve"> </w:t>
      </w:r>
      <w:r w:rsidRPr="00EC7C92">
        <w:rPr>
          <w:sz w:val="22"/>
          <w:szCs w:val="22"/>
        </w:rPr>
        <w:t>contributing</w:t>
      </w:r>
      <w:r w:rsidRPr="00EC7C92">
        <w:rPr>
          <w:spacing w:val="-5"/>
          <w:sz w:val="22"/>
          <w:szCs w:val="22"/>
        </w:rPr>
        <w:t xml:space="preserve"> </w:t>
      </w:r>
      <w:r w:rsidRPr="00EC7C92">
        <w:rPr>
          <w:sz w:val="22"/>
          <w:szCs w:val="22"/>
        </w:rPr>
        <w:t>to</w:t>
      </w:r>
      <w:r w:rsidRPr="00EC7C92">
        <w:rPr>
          <w:spacing w:val="-5"/>
          <w:sz w:val="22"/>
          <w:szCs w:val="22"/>
        </w:rPr>
        <w:t xml:space="preserve"> </w:t>
      </w:r>
      <w:r w:rsidRPr="00EC7C92">
        <w:rPr>
          <w:sz w:val="22"/>
          <w:szCs w:val="22"/>
        </w:rPr>
        <w:t>the</w:t>
      </w:r>
      <w:r w:rsidRPr="00EC7C92">
        <w:rPr>
          <w:spacing w:val="-5"/>
          <w:sz w:val="22"/>
          <w:szCs w:val="22"/>
        </w:rPr>
        <w:t xml:space="preserve"> </w:t>
      </w:r>
      <w:r w:rsidRPr="00EC7C92">
        <w:rPr>
          <w:sz w:val="22"/>
          <w:szCs w:val="22"/>
        </w:rPr>
        <w:t>council’s</w:t>
      </w:r>
      <w:r w:rsidRPr="00EC7C92">
        <w:rPr>
          <w:spacing w:val="-2"/>
          <w:sz w:val="22"/>
          <w:szCs w:val="22"/>
        </w:rPr>
        <w:t xml:space="preserve"> </w:t>
      </w:r>
      <w:r w:rsidRPr="00EC7C92">
        <w:rPr>
          <w:sz w:val="22"/>
          <w:szCs w:val="22"/>
        </w:rPr>
        <w:t>corporate objectives.</w:t>
      </w:r>
      <w:r w:rsidRPr="00EC7C92">
        <w:rPr>
          <w:spacing w:val="-3"/>
          <w:sz w:val="22"/>
          <w:szCs w:val="22"/>
        </w:rPr>
        <w:t xml:space="preserve"> </w:t>
      </w:r>
      <w:r w:rsidRPr="00EC7C92">
        <w:rPr>
          <w:sz w:val="22"/>
          <w:szCs w:val="22"/>
        </w:rPr>
        <w:t>This is</w:t>
      </w:r>
      <w:r w:rsidRPr="00EC7C92">
        <w:rPr>
          <w:spacing w:val="-2"/>
          <w:sz w:val="22"/>
          <w:szCs w:val="22"/>
        </w:rPr>
        <w:t xml:space="preserve"> </w:t>
      </w:r>
      <w:r w:rsidRPr="00EC7C92">
        <w:rPr>
          <w:sz w:val="22"/>
          <w:szCs w:val="22"/>
        </w:rPr>
        <w:t xml:space="preserve">supported by individual services’ own reports and thematic or project reporting </w:t>
      </w:r>
      <w:r w:rsidR="009E7541" w:rsidRPr="00EC7C92">
        <w:rPr>
          <w:sz w:val="22"/>
          <w:szCs w:val="22"/>
        </w:rPr>
        <w:t>e.g. the Climate Change Annual Report presented to Full Council.</w:t>
      </w:r>
      <w:r w:rsidR="00DD038E" w:rsidRPr="00EC7C92">
        <w:rPr>
          <w:sz w:val="22"/>
          <w:szCs w:val="22"/>
        </w:rPr>
        <w:t xml:space="preserve"> Where possible, indicators are compared to other authorities using industry tools e.g. the LGA’s LG Inform platform.</w:t>
      </w:r>
    </w:p>
    <w:p w14:paraId="0FB63508" w14:textId="2E0C8FBB" w:rsidR="00DD038E" w:rsidRPr="00DD038E" w:rsidRDefault="00DD038E" w:rsidP="00EC7C92">
      <w:bookmarkStart w:id="14" w:name="More_broadly,_the_authority’s_business_p"/>
      <w:bookmarkStart w:id="15" w:name="_Hlk168912207"/>
      <w:bookmarkEnd w:id="14"/>
      <w:r w:rsidRPr="00DD038E">
        <w:t>In 2024-25, a new performance benchmarking report was presented to the</w:t>
      </w:r>
      <w:r>
        <w:t xml:space="preserve"> </w:t>
      </w:r>
      <w:r w:rsidRPr="00DD038E">
        <w:t>CMT. Utilising industry intelligence sourced from the LGA and government</w:t>
      </w:r>
      <w:r>
        <w:t xml:space="preserve"> </w:t>
      </w:r>
      <w:r w:rsidRPr="00DD038E">
        <w:t>departments directly, the content enabled the authority to better understand</w:t>
      </w:r>
      <w:r>
        <w:t xml:space="preserve"> </w:t>
      </w:r>
      <w:r w:rsidRPr="00DD038E">
        <w:t xml:space="preserve">its own levels of performance in core frontline </w:t>
      </w:r>
      <w:r w:rsidR="00EC7C92" w:rsidRPr="00DD038E">
        <w:t>services and</w:t>
      </w:r>
      <w:r w:rsidRPr="00DD038E">
        <w:t xml:space="preserve"> also prompted</w:t>
      </w:r>
      <w:r>
        <w:t xml:space="preserve"> </w:t>
      </w:r>
      <w:r w:rsidRPr="00DD038E">
        <w:t>focussed activity where good practice was identified in specific areas.</w:t>
      </w:r>
    </w:p>
    <w:p w14:paraId="0CD0E41C" w14:textId="10E7F772" w:rsidR="00902F56" w:rsidRPr="00F819F7" w:rsidRDefault="00DD038E" w:rsidP="00EC7C92">
      <w:r w:rsidRPr="00DD038E">
        <w:t>More broadly, our business planning process specifically links in the</w:t>
      </w:r>
      <w:r>
        <w:t xml:space="preserve"> </w:t>
      </w:r>
      <w:r w:rsidRPr="00DD038E">
        <w:t>activities of individual departments, and crucially those of individual officers,</w:t>
      </w:r>
      <w:r>
        <w:t xml:space="preserve"> </w:t>
      </w:r>
      <w:r w:rsidRPr="00DD038E">
        <w:t>with the corporate objectives of the council, providing a golden thread; an</w:t>
      </w:r>
      <w:r>
        <w:t xml:space="preserve"> </w:t>
      </w:r>
      <w:r w:rsidRPr="00DD038E">
        <w:t>understanding of how the performance of each officer contributes to the</w:t>
      </w:r>
      <w:r>
        <w:t xml:space="preserve"> </w:t>
      </w:r>
      <w:r w:rsidRPr="00DD038E">
        <w:t xml:space="preserve">council’s objectives and the delivery of its ambition for the </w:t>
      </w:r>
      <w:r w:rsidR="00EC7C92" w:rsidRPr="00DD038E">
        <w:t>borough, essential</w:t>
      </w:r>
      <w:r w:rsidRPr="00DD038E">
        <w:t xml:space="preserve"> in the development of a ‘people first’ workplace culture.</w:t>
      </w:r>
    </w:p>
    <w:bookmarkEnd w:id="15"/>
    <w:p w14:paraId="48055D42" w14:textId="22412195" w:rsidR="00B7571C" w:rsidRDefault="00B7571C" w:rsidP="00EC7C92">
      <w:pPr>
        <w:pStyle w:val="BodyText"/>
        <w:ind w:left="0"/>
      </w:pPr>
    </w:p>
    <w:p w14:paraId="44CBAD6F" w14:textId="75A08098" w:rsidR="00902F56" w:rsidRPr="00B14C69" w:rsidRDefault="007A36C3" w:rsidP="00EC7C92">
      <w:pPr>
        <w:pStyle w:val="Heading2"/>
      </w:pPr>
      <w:bookmarkStart w:id="16" w:name="Finance"/>
      <w:bookmarkEnd w:id="16"/>
      <w:r w:rsidRPr="00B14C69">
        <w:lastRenderedPageBreak/>
        <w:t>Finance</w:t>
      </w:r>
    </w:p>
    <w:p w14:paraId="76101D65" w14:textId="02772082" w:rsidR="00907DE8" w:rsidRPr="00EC7C92" w:rsidRDefault="00F959EB" w:rsidP="00EC7C92">
      <w:bookmarkStart w:id="17" w:name="Section_151_of_the_Local_Government_Act_"/>
      <w:bookmarkEnd w:id="17"/>
      <w:r w:rsidRPr="00EC7C92">
        <w:t>Section 151 of the Local Government Act 1972 requires that one officer has responsibility for the proper administration of its financial affairs. In 202</w:t>
      </w:r>
      <w:r w:rsidR="00DD038E" w:rsidRPr="00EC7C92">
        <w:t>4</w:t>
      </w:r>
      <w:r w:rsidRPr="00EC7C92">
        <w:t>-2</w:t>
      </w:r>
      <w:r w:rsidR="00DD038E" w:rsidRPr="00EC7C92">
        <w:t>5</w:t>
      </w:r>
      <w:r w:rsidRPr="00EC7C92">
        <w:t xml:space="preserve"> this responsibility was held by the Director (Corporate Services), with a Deputy Section 151 officer also appointed. The council’s financial management arrangements conform to the requirements of CIPFA’s guidance on the Role of the Chief Financial Officer in Local Government.</w:t>
      </w:r>
    </w:p>
    <w:p w14:paraId="096C7ACC" w14:textId="578ACA13" w:rsidR="00902F56" w:rsidRPr="00EC7C92" w:rsidRDefault="007A36C3" w:rsidP="00EC7C92">
      <w:r w:rsidRPr="00EC7C92">
        <w:t xml:space="preserve">In terms of </w:t>
      </w:r>
      <w:r w:rsidR="00FB5EE2" w:rsidRPr="00EC7C92">
        <w:t>our</w:t>
      </w:r>
      <w:r w:rsidRPr="00EC7C92">
        <w:t xml:space="preserve"> financial controls, we work to the principles and standards within CIPFA’s </w:t>
      </w:r>
      <w:hyperlink r:id="rId14">
        <w:r w:rsidRPr="00EC7C92">
          <w:rPr>
            <w:rStyle w:val="Hyperlink"/>
          </w:rPr>
          <w:t>Financial Management Code</w:t>
        </w:r>
      </w:hyperlink>
      <w:r w:rsidRPr="00EC7C92">
        <w:t xml:space="preserve">. </w:t>
      </w:r>
      <w:r w:rsidR="00F959EB" w:rsidRPr="00EC7C92">
        <w:t>To test and ultimately demonstrate our processes satisfy the code, a self-assessment was undertaken in 202</w:t>
      </w:r>
      <w:r w:rsidR="00DD038E" w:rsidRPr="00EC7C92">
        <w:t>4</w:t>
      </w:r>
      <w:r w:rsidR="00F959EB" w:rsidRPr="00EC7C92">
        <w:t>-2</w:t>
      </w:r>
      <w:r w:rsidR="00DD038E" w:rsidRPr="00EC7C92">
        <w:t>5</w:t>
      </w:r>
      <w:r w:rsidR="00F959EB" w:rsidRPr="00EC7C92">
        <w:t>, concluding GBC was fully compliant in all 17 presented standards and that no significant improvements were required.</w:t>
      </w:r>
    </w:p>
    <w:p w14:paraId="28946E23" w14:textId="3F3B0DBC" w:rsidR="00F959EB" w:rsidRPr="00EC7C92" w:rsidRDefault="00F959EB" w:rsidP="00EC7C92">
      <w:bookmarkStart w:id="18" w:name="We_have_a_10-year_Medium-Term_Financial_"/>
      <w:bookmarkStart w:id="19" w:name="_Hlk169526269"/>
      <w:bookmarkEnd w:id="18"/>
      <w:r w:rsidRPr="00EC7C92">
        <w:t xml:space="preserve">Since the start of the government’s austerity programme in 2010, local government funding has been significantly reduced. In 2010-11 some 60% of council funding was received through Central Government Grant.  Due to government policy changes, this has evolved to around 96% of funding being generated through council tax and retained business rates receipts. Moreover, the council continues to work within an environment of strategic financial uncertainty, making long term planning particularly challenging. </w:t>
      </w:r>
    </w:p>
    <w:p w14:paraId="7AF5878E" w14:textId="65105934" w:rsidR="00902F56" w:rsidRPr="00EC7C92" w:rsidRDefault="00F959EB" w:rsidP="00EC7C92">
      <w:r w:rsidRPr="00EC7C92">
        <w:t xml:space="preserve">Against that backdrop, we have in place a 10-year Medium-Term Financial Plan (MTFP) which sets out the forecasted budget for the council over the period. In support, </w:t>
      </w:r>
      <w:bookmarkEnd w:id="19"/>
      <w:r w:rsidR="00B947D0" w:rsidRPr="00EC7C92">
        <w:t xml:space="preserve">the council has a </w:t>
      </w:r>
      <w:hyperlink r:id="rId15" w:history="1">
        <w:r w:rsidR="00B947D0" w:rsidRPr="00EC7C92">
          <w:rPr>
            <w:rStyle w:val="Hyperlink"/>
          </w:rPr>
          <w:t>Medium Term Financial Strategy</w:t>
        </w:r>
      </w:hyperlink>
      <w:r w:rsidR="00B947D0" w:rsidRPr="00EC7C92">
        <w:t xml:space="preserve"> (MTFS) spanning 2025-6 to 2028-29. Adopted by Full Council in February 2025, the MTFS recognises the council’s financial position and the need to deliver a collective £2.63m of base budget reductions by 2027-28, identifying a package of proactive measures intended to restore financial sustainability in the medium term.</w:t>
      </w:r>
    </w:p>
    <w:p w14:paraId="5BA7A79A" w14:textId="17A30C02" w:rsidR="00AD1EFC" w:rsidRPr="00EC7C92" w:rsidRDefault="00F959EB" w:rsidP="00EC7C92">
      <w:pPr>
        <w:rPr>
          <w:highlight w:val="yellow"/>
        </w:rPr>
      </w:pPr>
      <w:bookmarkStart w:id="20" w:name="Regular_budget_monitoring_took_place_in_"/>
      <w:bookmarkStart w:id="21" w:name="_Hlk169526525"/>
      <w:bookmarkEnd w:id="20"/>
      <w:r w:rsidRPr="00EC7C92">
        <w:t>Regular monitoring took place in 202</w:t>
      </w:r>
      <w:r w:rsidR="008F0D42" w:rsidRPr="00EC7C92">
        <w:t>4</w:t>
      </w:r>
      <w:r w:rsidRPr="00EC7C92">
        <w:t>-2</w:t>
      </w:r>
      <w:r w:rsidR="008F0D42" w:rsidRPr="00EC7C92">
        <w:t>5</w:t>
      </w:r>
      <w:r w:rsidRPr="00EC7C92">
        <w:t xml:space="preserve"> to manage the council’s Net Revenue Budget, </w:t>
      </w:r>
      <w:r w:rsidR="00EC7C92" w:rsidRPr="00EC7C92">
        <w:t>with reports</w:t>
      </w:r>
      <w:r w:rsidR="00AD1EFC" w:rsidRPr="00EC7C92">
        <w:t xml:space="preserve"> </w:t>
      </w:r>
      <w:r w:rsidR="008F0D42" w:rsidRPr="00EC7C92">
        <w:t xml:space="preserve">frequently </w:t>
      </w:r>
      <w:r w:rsidR="00AD1EFC" w:rsidRPr="00EC7C92">
        <w:t>presented to the Finance &amp; Audit Committee and Cabinet</w:t>
      </w:r>
      <w:r w:rsidR="00A45120" w:rsidRPr="00EC7C92">
        <w:t xml:space="preserve">. </w:t>
      </w:r>
      <w:r w:rsidR="00AD1EFC" w:rsidRPr="00EC7C92">
        <w:t xml:space="preserve">In addition to formal reporting, meetings are </w:t>
      </w:r>
      <w:r w:rsidR="008F0D42" w:rsidRPr="00EC7C92">
        <w:t xml:space="preserve">regularly </w:t>
      </w:r>
      <w:r w:rsidR="00AD1EFC" w:rsidRPr="00EC7C92">
        <w:t>held between officers and the Cabinet Portfolio Holders to discuss any specific budget queries. Key controls used by the council to manage its finances in 202</w:t>
      </w:r>
      <w:r w:rsidR="008F0D42" w:rsidRPr="00EC7C92">
        <w:t>4</w:t>
      </w:r>
      <w:r w:rsidR="00AD1EFC" w:rsidRPr="00EC7C92">
        <w:t>-2</w:t>
      </w:r>
      <w:r w:rsidR="008F0D42" w:rsidRPr="00EC7C92">
        <w:t>5</w:t>
      </w:r>
      <w:r w:rsidR="00AD1EFC" w:rsidRPr="00EC7C92">
        <w:t xml:space="preserve"> include: </w:t>
      </w:r>
      <w:bookmarkStart w:id="22" w:name="Throughout_2020-21,_the_council_utilised"/>
      <w:bookmarkEnd w:id="22"/>
    </w:p>
    <w:p w14:paraId="60F6A891" w14:textId="77777777" w:rsidR="00EC7C92" w:rsidRDefault="00AD1EFC" w:rsidP="00EC7C92">
      <w:pPr>
        <w:pStyle w:val="ListParagraph"/>
        <w:numPr>
          <w:ilvl w:val="0"/>
          <w:numId w:val="13"/>
        </w:numPr>
      </w:pPr>
      <w:bookmarkStart w:id="23" w:name="Action:_CIPFA’s_Financial_Management_Cod"/>
      <w:bookmarkEnd w:id="21"/>
      <w:bookmarkEnd w:id="23"/>
      <w:r w:rsidRPr="00EC7C92">
        <w:t xml:space="preserve">An annually agreed </w:t>
      </w:r>
      <w:hyperlink r:id="rId16" w:history="1">
        <w:r w:rsidRPr="00EC7C92">
          <w:rPr>
            <w:rStyle w:val="Hyperlink"/>
          </w:rPr>
          <w:t>Civic Budget Book</w:t>
        </w:r>
      </w:hyperlink>
      <w:r w:rsidRPr="00EC7C92">
        <w:t xml:space="preserve"> which sets out the budgetary requirements for the year, with quarterly monitoring reports presented to the Cabinet and Finance and Audit Committee. </w:t>
      </w:r>
      <w:bookmarkStart w:id="24" w:name="_Hlk169184639"/>
    </w:p>
    <w:p w14:paraId="17648CEC" w14:textId="77777777" w:rsidR="00EC7C92" w:rsidRDefault="00AD1EFC" w:rsidP="00EC7C92">
      <w:pPr>
        <w:pStyle w:val="ListParagraph"/>
        <w:numPr>
          <w:ilvl w:val="0"/>
          <w:numId w:val="13"/>
        </w:numPr>
      </w:pPr>
      <w:r w:rsidRPr="00EC7C92">
        <w:t xml:space="preserve">A set of </w:t>
      </w:r>
      <w:hyperlink r:id="rId17" w:history="1">
        <w:r w:rsidRPr="00EC7C92">
          <w:rPr>
            <w:rStyle w:val="Hyperlink"/>
          </w:rPr>
          <w:t>Financial Statements</w:t>
        </w:r>
      </w:hyperlink>
      <w:r w:rsidRPr="00EC7C92">
        <w:t xml:space="preserve"> are produced for each financial year, in line with CIPFA’s </w:t>
      </w:r>
      <w:hyperlink r:id="rId18" w:history="1">
        <w:r w:rsidRPr="00EC7C92">
          <w:rPr>
            <w:rStyle w:val="Hyperlink"/>
          </w:rPr>
          <w:t>Code of Practice on Local Authority Accounting</w:t>
        </w:r>
      </w:hyperlink>
      <w:r w:rsidRPr="00EC7C92">
        <w:t xml:space="preserve">. </w:t>
      </w:r>
      <w:bookmarkEnd w:id="24"/>
    </w:p>
    <w:p w14:paraId="63FAE4CF" w14:textId="77777777" w:rsidR="00EC7C92" w:rsidRDefault="00AD1EFC" w:rsidP="00EC7C92">
      <w:pPr>
        <w:pStyle w:val="ListParagraph"/>
        <w:numPr>
          <w:ilvl w:val="0"/>
          <w:numId w:val="13"/>
        </w:numPr>
      </w:pPr>
      <w:r w:rsidRPr="00EC7C92">
        <w:t xml:space="preserve">A </w:t>
      </w:r>
      <w:hyperlink r:id="rId19" w:history="1">
        <w:r w:rsidRPr="00EC7C92">
          <w:rPr>
            <w:rStyle w:val="Hyperlink"/>
          </w:rPr>
          <w:t>Capital Strategy</w:t>
        </w:r>
      </w:hyperlink>
      <w:r w:rsidRPr="00EC7C92">
        <w:t xml:space="preserve"> intended to outline the principles used in our approach to capital investment over the long-term. Annually reviewed, the strategy sets out the framework within which the authority will plan, procure, prioritise and manage its capital investment and financing decisions, with intrinsic links to the </w:t>
      </w:r>
      <w:hyperlink r:id="rId20" w:history="1">
        <w:r w:rsidRPr="00EC7C92">
          <w:rPr>
            <w:rStyle w:val="Hyperlink"/>
          </w:rPr>
          <w:t>Treasury Management Strategy</w:t>
        </w:r>
      </w:hyperlink>
      <w:r w:rsidRPr="00EC7C92">
        <w:t>.</w:t>
      </w:r>
    </w:p>
    <w:p w14:paraId="0E6D52E7" w14:textId="711A43AC" w:rsidR="00EC7C92" w:rsidRPr="00EC7C92" w:rsidRDefault="00AD1EFC" w:rsidP="00EC7C92">
      <w:pPr>
        <w:pStyle w:val="ListParagraph"/>
        <w:numPr>
          <w:ilvl w:val="0"/>
          <w:numId w:val="13"/>
        </w:numPr>
      </w:pPr>
      <w:r w:rsidRPr="00EC7C92">
        <w:t xml:space="preserve">The council has adopted CIPFA’s </w:t>
      </w:r>
      <w:hyperlink r:id="rId21" w:history="1">
        <w:r w:rsidRPr="00EC7C92">
          <w:rPr>
            <w:rStyle w:val="Hyperlink"/>
          </w:rPr>
          <w:t>Treasury Management in the Public Services: Code of Practice 2021</w:t>
        </w:r>
      </w:hyperlink>
      <w:r w:rsidRPr="00EC7C92">
        <w:t xml:space="preserve">, producing an annual </w:t>
      </w:r>
      <w:hyperlink r:id="rId22" w:history="1">
        <w:r w:rsidRPr="00EC7C92">
          <w:rPr>
            <w:rStyle w:val="Hyperlink"/>
          </w:rPr>
          <w:t>Treasury Management Report</w:t>
        </w:r>
      </w:hyperlink>
      <w:r w:rsidRPr="00EC7C92">
        <w:t xml:space="preserve"> (including the Annual Investment Strategy Report) and an annual </w:t>
      </w:r>
      <w:hyperlink r:id="rId23" w:history="1">
        <w:r w:rsidRPr="00EC7C92">
          <w:rPr>
            <w:rStyle w:val="Hyperlink"/>
          </w:rPr>
          <w:t>Treasury Management Review</w:t>
        </w:r>
      </w:hyperlink>
      <w:r w:rsidRPr="00EC7C92">
        <w:t>, with regular in-year treasury monitoring reports to the Finance &amp; Audit Committee.</w:t>
      </w:r>
    </w:p>
    <w:p w14:paraId="17A41753" w14:textId="237AE127" w:rsidR="00EC7C92" w:rsidRDefault="00EC7C92" w:rsidP="00EC7C92">
      <w:pPr>
        <w:pStyle w:val="Heading2"/>
      </w:pPr>
      <w:r>
        <w:t>Audit</w:t>
      </w:r>
    </w:p>
    <w:p w14:paraId="08BD92AC" w14:textId="4406C404" w:rsidR="00EC7C92" w:rsidRDefault="00DE6A83" w:rsidP="00EC7C92">
      <w:r w:rsidRPr="00EC7C92">
        <w:t xml:space="preserve">Internal Audit and Counter Fraud activity is delivered through a shared service with Medway Council, aimed at providing independent, objective assurance, investigation and consulting services </w:t>
      </w:r>
      <w:r w:rsidRPr="00EC7C92">
        <w:lastRenderedPageBreak/>
        <w:t>to add value and improve the council’s operations. In doing so, the team brings a systematic and disciplined approach to evaluating and improving the effectiveness of risk management, internal control</w:t>
      </w:r>
      <w:r w:rsidR="00FB5EE2" w:rsidRPr="00EC7C92">
        <w:t xml:space="preserve"> </w:t>
      </w:r>
      <w:r w:rsidRPr="00EC7C92">
        <w:t>and governance processes.</w:t>
      </w:r>
      <w:r w:rsidR="00CF1857" w:rsidRPr="00EC7C92">
        <w:br/>
      </w:r>
      <w:r w:rsidR="00A26172" w:rsidRPr="00EC7C92">
        <w:t>In undertaking its r</w:t>
      </w:r>
      <w:r w:rsidRPr="00EC7C92">
        <w:t>ole</w:t>
      </w:r>
      <w:r w:rsidR="00A26172" w:rsidRPr="00EC7C92">
        <w:t xml:space="preserve">, the service operates to the </w:t>
      </w:r>
      <w:hyperlink r:id="rId24" w:history="1">
        <w:r w:rsidR="00A26172" w:rsidRPr="00EC7C92">
          <w:rPr>
            <w:rStyle w:val="Hyperlink"/>
          </w:rPr>
          <w:t>Public Sector Internal Audit Standards</w:t>
        </w:r>
      </w:hyperlink>
      <w:r w:rsidR="00515BA0" w:rsidRPr="00EC7C92">
        <w:t xml:space="preserve">. The most recent </w:t>
      </w:r>
      <w:r w:rsidRPr="00EC7C92">
        <w:t xml:space="preserve">External Quality assessment </w:t>
      </w:r>
      <w:r w:rsidR="00515BA0" w:rsidRPr="00EC7C92">
        <w:t xml:space="preserve">of the service against these standards </w:t>
      </w:r>
      <w:r w:rsidRPr="00EC7C92">
        <w:t>identif</w:t>
      </w:r>
      <w:r w:rsidR="00515BA0" w:rsidRPr="00EC7C92">
        <w:t>ied</w:t>
      </w:r>
      <w:r w:rsidR="00D67027" w:rsidRPr="00EC7C92">
        <w:t xml:space="preserve"> a green opinion </w:t>
      </w:r>
      <w:r w:rsidR="00FB5EE2" w:rsidRPr="00EC7C92">
        <w:t>and conclud</w:t>
      </w:r>
      <w:r w:rsidR="00515BA0" w:rsidRPr="00EC7C92">
        <w:t>ed</w:t>
      </w:r>
      <w:r w:rsidR="00D67027" w:rsidRPr="00EC7C92">
        <w:t>; “The Internal Audit Shared Service is delivering to a standard that generally conforms with the PSIAS”.</w:t>
      </w:r>
    </w:p>
    <w:p w14:paraId="4DC389EF" w14:textId="4FB25D99" w:rsidR="00DE6A83" w:rsidRPr="00EC7C92" w:rsidRDefault="00DE6A83" w:rsidP="00EC7C92">
      <w:r w:rsidRPr="00EC7C92">
        <w:t>In light of the audit programme of assurance reviews undertaken in 202</w:t>
      </w:r>
      <w:r w:rsidR="00515BA0" w:rsidRPr="00EC7C92">
        <w:t>4</w:t>
      </w:r>
      <w:r w:rsidRPr="00EC7C92">
        <w:t>-2</w:t>
      </w:r>
      <w:r w:rsidR="00515BA0" w:rsidRPr="00EC7C92">
        <w:t>5</w:t>
      </w:r>
      <w:r w:rsidRPr="00EC7C92">
        <w:t xml:space="preserve">, the Head of Internal Audit was able to provide a full opinion, delivered in direct consideration of the </w:t>
      </w:r>
      <w:hyperlink r:id="rId25" w:history="1">
        <w:r w:rsidRPr="00EC7C92">
          <w:rPr>
            <w:rStyle w:val="Hyperlink"/>
          </w:rPr>
          <w:t>CIPFA Statement on the Role of the Head of Internal Audit in Public Service Organisations</w:t>
        </w:r>
      </w:hyperlink>
      <w:r w:rsidRPr="00EC7C92">
        <w:t>.</w:t>
      </w:r>
    </w:p>
    <w:p w14:paraId="6BF7808B" w14:textId="59067F11" w:rsidR="00DE6A83" w:rsidRPr="00EC7C92" w:rsidRDefault="00DE6A83" w:rsidP="00EC7C92">
      <w:r w:rsidRPr="00EC7C92">
        <w:t>The responsibilities of the Finance &amp; Audit Committee include the consideration of reports from internal and external audit, and inspection agencies, as well as monitoring internal audit performance. During 202</w:t>
      </w:r>
      <w:r w:rsidR="00515BA0" w:rsidRPr="00EC7C92">
        <w:t>4</w:t>
      </w:r>
      <w:r w:rsidR="00715BD7" w:rsidRPr="00EC7C92">
        <w:t>-2</w:t>
      </w:r>
      <w:r w:rsidR="00515BA0" w:rsidRPr="00EC7C92">
        <w:t>5</w:t>
      </w:r>
      <w:r w:rsidRPr="00EC7C92">
        <w:t>, the committee received and considered numerous reports from council officers and external bodies, enabling Members to obtain assurances of the internal control and governance arrangements of the council and to monitor action in addressing any issues identified by these reports.</w:t>
      </w:r>
    </w:p>
    <w:p w14:paraId="0EBFD465" w14:textId="37A763A1" w:rsidR="00781253" w:rsidRPr="00EC7C92" w:rsidRDefault="00DE6A83" w:rsidP="00EC7C92">
      <w:r w:rsidRPr="00EC7C92">
        <w:t>The council is committed to continuously improving its governance framework. In doing so, the authority works to implement the findings and key recommendations of its external auditors and statutory inspectors where these further strengthen the existing controls and processes that drive the governance environment.</w:t>
      </w:r>
    </w:p>
    <w:p w14:paraId="44B578D4" w14:textId="77777777" w:rsidR="00EC7C92" w:rsidRDefault="007A36C3" w:rsidP="00EC7C92">
      <w:pPr>
        <w:pStyle w:val="Heading2"/>
      </w:pPr>
      <w:r w:rsidRPr="003A3619">
        <w:t>Risk</w:t>
      </w:r>
      <w:bookmarkStart w:id="25" w:name="We_have_a_long-established_process_in_pl"/>
      <w:bookmarkEnd w:id="25"/>
    </w:p>
    <w:p w14:paraId="0C9CB9AF" w14:textId="00E9373C" w:rsidR="00902F56" w:rsidRPr="00EC7C92" w:rsidRDefault="00FB5EE2" w:rsidP="00EC7C92">
      <w:r w:rsidRPr="00EC7C92">
        <w:t xml:space="preserve">GBC has </w:t>
      </w:r>
      <w:r w:rsidR="007A36C3" w:rsidRPr="00EC7C92">
        <w:t xml:space="preserve">a long-established process in place to identify the principal risks that may influence or impact on the delivery of </w:t>
      </w:r>
      <w:r w:rsidRPr="00EC7C92">
        <w:t xml:space="preserve">our </w:t>
      </w:r>
      <w:r w:rsidR="007A36C3" w:rsidRPr="00EC7C92">
        <w:t xml:space="preserve">services. The process requires judgements to be made on the likelihood and impact of a potential risk and enables </w:t>
      </w:r>
      <w:r w:rsidRPr="00EC7C92">
        <w:t>us</w:t>
      </w:r>
      <w:r w:rsidR="007A36C3" w:rsidRPr="00EC7C92">
        <w:t xml:space="preserve"> to develop and implement appropriate controls to mitigate these and reduce their </w:t>
      </w:r>
      <w:bookmarkStart w:id="26" w:name="Monitoring_risk_is_an_on-going_process_a"/>
      <w:bookmarkEnd w:id="26"/>
      <w:r w:rsidR="007A36C3" w:rsidRPr="00EC7C92">
        <w:t>impact.</w:t>
      </w:r>
    </w:p>
    <w:p w14:paraId="2EF8D8AE" w14:textId="20C1F28C" w:rsidR="00781253" w:rsidRPr="00EC7C92" w:rsidRDefault="007A36C3" w:rsidP="00EC7C92">
      <w:r w:rsidRPr="00EC7C92">
        <w:t xml:space="preserve">Monitoring risk is an on-going process and complements all council projects and day to day business. Central to </w:t>
      </w:r>
      <w:r w:rsidR="00FB5EE2" w:rsidRPr="00EC7C92">
        <w:t>our</w:t>
      </w:r>
      <w:r w:rsidRPr="00EC7C92">
        <w:t xml:space="preserve"> approach is an annually reviewed </w:t>
      </w:r>
      <w:hyperlink r:id="rId26">
        <w:r w:rsidRPr="00EC7C92">
          <w:rPr>
            <w:rStyle w:val="Hyperlink"/>
          </w:rPr>
          <w:t>Risk Management Strategy</w:t>
        </w:r>
      </w:hyperlink>
      <w:r w:rsidRPr="00EC7C92">
        <w:t xml:space="preserve">, which outlines the adopted approach for identifying, evaluating, managing and recording risks to which the authority is </w:t>
      </w:r>
      <w:bookmarkStart w:id="27" w:name="Against_that_framework,_we_prepare_an_an"/>
      <w:bookmarkEnd w:id="27"/>
      <w:r w:rsidRPr="00EC7C92">
        <w:t>exposed.</w:t>
      </w:r>
    </w:p>
    <w:p w14:paraId="2EA108B2" w14:textId="3DC37BBC" w:rsidR="005F0268" w:rsidRPr="00EC7C92" w:rsidRDefault="007A36C3" w:rsidP="00EC7C92">
      <w:r w:rsidRPr="00EC7C92">
        <w:t xml:space="preserve">Against that framework, we prepare an annual </w:t>
      </w:r>
      <w:hyperlink r:id="rId27">
        <w:r w:rsidRPr="00EC7C92">
          <w:rPr>
            <w:rStyle w:val="Hyperlink"/>
          </w:rPr>
          <w:t>Corporate Risk Register</w:t>
        </w:r>
        <w:r w:rsidR="00FB5EE2" w:rsidRPr="00EC7C92">
          <w:rPr>
            <w:rStyle w:val="Hyperlink"/>
          </w:rPr>
          <w:t>. This is prepared</w:t>
        </w:r>
        <w:r w:rsidRPr="00EC7C92">
          <w:rPr>
            <w:rStyle w:val="Hyperlink"/>
          </w:rPr>
          <w:t xml:space="preserve"> </w:t>
        </w:r>
      </w:hyperlink>
      <w:r w:rsidRPr="00EC7C92">
        <w:t xml:space="preserve">following a </w:t>
      </w:r>
      <w:r w:rsidR="00E248F6" w:rsidRPr="00EC7C92">
        <w:t>t</w:t>
      </w:r>
      <w:r w:rsidRPr="00EC7C92">
        <w:t xml:space="preserve">horough review of the risks already identified by the council and </w:t>
      </w:r>
      <w:r w:rsidR="00FB5EE2" w:rsidRPr="00EC7C92">
        <w:t xml:space="preserve">in </w:t>
      </w:r>
      <w:r w:rsidRPr="00EC7C92">
        <w:t xml:space="preserve">consideration to the identification of potential new strategic risks, </w:t>
      </w:r>
      <w:r w:rsidR="00FB5EE2" w:rsidRPr="00EC7C92">
        <w:t xml:space="preserve">including any relevant service-based risks </w:t>
      </w:r>
      <w:r w:rsidR="00D44B9A" w:rsidRPr="00EC7C92">
        <w:t xml:space="preserve">recognised through </w:t>
      </w:r>
      <w:r w:rsidRPr="00EC7C92">
        <w:t>the business planning process.</w:t>
      </w:r>
    </w:p>
    <w:p w14:paraId="59219657" w14:textId="3DC5D189" w:rsidR="005F0268" w:rsidRPr="00EC7C92" w:rsidRDefault="005F0268" w:rsidP="00EC7C92">
      <w:r w:rsidRPr="00EC7C92">
        <w:t xml:space="preserve">In seeking to provide broader corporate oversight of the operating risk environment, the council </w:t>
      </w:r>
      <w:r w:rsidR="00DE6A83" w:rsidRPr="00EC7C92">
        <w:t xml:space="preserve">has </w:t>
      </w:r>
      <w:r w:rsidRPr="00EC7C92">
        <w:t>further enhanced i</w:t>
      </w:r>
      <w:r w:rsidR="005A084E" w:rsidRPr="00EC7C92">
        <w:t>t</w:t>
      </w:r>
      <w:r w:rsidRPr="00EC7C92">
        <w:t>s internal controls with a</w:t>
      </w:r>
      <w:r w:rsidR="005A084E" w:rsidRPr="00EC7C92">
        <w:t xml:space="preserve"> </w:t>
      </w:r>
      <w:r w:rsidRPr="00EC7C92">
        <w:t xml:space="preserve">Risk Management Working Group.   </w:t>
      </w:r>
    </w:p>
    <w:p w14:paraId="26428740" w14:textId="168CE7AF" w:rsidR="00902F56" w:rsidRPr="00EC7C92" w:rsidRDefault="007A36C3" w:rsidP="00EC7C92">
      <w:r w:rsidRPr="00EC7C92">
        <w:t xml:space="preserve">At a </w:t>
      </w:r>
      <w:r w:rsidR="00E1284A" w:rsidRPr="00EC7C92">
        <w:t>member</w:t>
      </w:r>
      <w:r w:rsidRPr="00EC7C92">
        <w:t xml:space="preserve"> level the Finance &amp; Audit Committee is responsible for monitoring the effective development and operation of these management arrangements, including a mid-year review of the Corporate Risk Register.</w:t>
      </w:r>
    </w:p>
    <w:p w14:paraId="19B16799" w14:textId="558FC53F" w:rsidR="005A084E" w:rsidRDefault="005A084E" w:rsidP="00E1284A">
      <w:bookmarkStart w:id="28" w:name="Alongside_the_listed_controls_delivered_"/>
      <w:bookmarkStart w:id="29" w:name="We_are_consistently_seeking_to_identify_"/>
      <w:bookmarkEnd w:id="28"/>
      <w:bookmarkEnd w:id="29"/>
      <w:r w:rsidRPr="00EC7C92">
        <w:t>Alongside the listed controls delivered in 202</w:t>
      </w:r>
      <w:r w:rsidR="00D205FB" w:rsidRPr="00EC7C92">
        <w:t>4</w:t>
      </w:r>
      <w:r w:rsidRPr="00EC7C92">
        <w:t>-2</w:t>
      </w:r>
      <w:r w:rsidR="00D205FB" w:rsidRPr="00EC7C92">
        <w:t>5</w:t>
      </w:r>
      <w:r w:rsidRPr="00EC7C92">
        <w:t>, all committee reports included an appendix that identified the ‘implications’ of any decisions being recommended through the report, including an assessment of risk.</w:t>
      </w:r>
    </w:p>
    <w:p w14:paraId="6EA43326" w14:textId="77777777" w:rsidR="00E1284A" w:rsidRDefault="00A1674D" w:rsidP="00E1284A">
      <w:pPr>
        <w:pStyle w:val="Heading2"/>
      </w:pPr>
      <w:r w:rsidRPr="003A3619">
        <w:lastRenderedPageBreak/>
        <w:t>Partnerships</w:t>
      </w:r>
    </w:p>
    <w:p w14:paraId="684A5EFE" w14:textId="7AF619E8" w:rsidR="00902F56" w:rsidRPr="00E1284A" w:rsidRDefault="00D205FB" w:rsidP="00E1284A">
      <w:r w:rsidRPr="00E1284A">
        <w:t>We are consistently seeking to identify innovative solutions in the design and delivery of our services. This can include consideration of partnership working opportunities with public bodies and local agencies, including identification of shared service opportunities. These options were fully considered and assessed during 2024-25.</w:t>
      </w:r>
    </w:p>
    <w:p w14:paraId="741C44B0" w14:textId="4085E5D2" w:rsidR="00D205FB" w:rsidRPr="00E1284A" w:rsidRDefault="00D205FB" w:rsidP="00E1284A">
      <w:bookmarkStart w:id="30" w:name="We_have_a_robust_Working_in_Partnership_"/>
      <w:bookmarkEnd w:id="30"/>
      <w:r w:rsidRPr="00E1284A">
        <w:t>To govern this agenda, the council has adopted a robust Working in Partnership Framework. Acting as the central point of reference in developing new partnerships, the framework links the formation of new opportunities to the delivery of our corporate objectives. The framework</w:t>
      </w:r>
    </w:p>
    <w:p w14:paraId="7D120C8A" w14:textId="4E4CDCEE" w:rsidR="00D205FB" w:rsidRPr="00E1284A" w:rsidRDefault="00D205FB" w:rsidP="00E1284A">
      <w:r w:rsidRPr="00E1284A">
        <w:t xml:space="preserve">contains a number of key governance controls, including the financial threshold for a significant partnership, and ensures our equalities objectives and climate change commitment form key considerations in the evaluation of any arrangement. Following a programmed review, a series of minor amendments were proposed and adopted by </w:t>
      </w:r>
      <w:hyperlink r:id="rId28" w:history="1">
        <w:r w:rsidRPr="00E1284A">
          <w:rPr>
            <w:rStyle w:val="Hyperlink"/>
          </w:rPr>
          <w:t>Council</w:t>
        </w:r>
      </w:hyperlink>
      <w:r w:rsidRPr="00E1284A">
        <w:t xml:space="preserve"> in 2024-25.</w:t>
      </w:r>
    </w:p>
    <w:p w14:paraId="348E1A73" w14:textId="7C87C745" w:rsidR="00D845C2" w:rsidRPr="00E1284A" w:rsidRDefault="007A36C3" w:rsidP="00E1284A">
      <w:r w:rsidRPr="00E1284A">
        <w:t xml:space="preserve">In support of the framework, a comprehensive </w:t>
      </w:r>
      <w:r w:rsidR="002A1F4C" w:rsidRPr="00E1284A">
        <w:t xml:space="preserve">annual </w:t>
      </w:r>
      <w:r w:rsidRPr="00E1284A">
        <w:t xml:space="preserve">review of the council’s </w:t>
      </w:r>
      <w:hyperlink r:id="rId29">
        <w:r w:rsidRPr="00E1284A">
          <w:rPr>
            <w:rStyle w:val="Hyperlink"/>
          </w:rPr>
          <w:t xml:space="preserve">Corporate Register of Partnerships </w:t>
        </w:r>
      </w:hyperlink>
      <w:bookmarkStart w:id="31" w:name="Outside_of_formal_established_partnershi"/>
      <w:bookmarkEnd w:id="31"/>
      <w:r w:rsidR="00D205FB" w:rsidRPr="00E1284A">
        <w:t>was undertaken in 2024-25 to ensure partnerships demonstrate their continued effectiveness, value and alignment to the delivery of our corporate objectives.</w:t>
      </w:r>
    </w:p>
    <w:p w14:paraId="6C31D5C5" w14:textId="75C475D7" w:rsidR="00D205FB" w:rsidRPr="00E1284A" w:rsidRDefault="00D205FB" w:rsidP="00E1284A">
      <w:r w:rsidRPr="00E1284A">
        <w:t xml:space="preserve">In validating the approach taken for effective partnership working, in 2024-25 the council was recognised by the LGA as operational best practice in their publication; </w:t>
      </w:r>
      <w:hyperlink r:id="rId30" w:anchor="case-studies" w:history="1">
        <w:r w:rsidRPr="00E1284A">
          <w:rPr>
            <w:rStyle w:val="Hyperlink"/>
          </w:rPr>
          <w:t>Effective accountability and assurance in place-based partnership</w:t>
        </w:r>
        <w:bookmarkStart w:id="32" w:name="Transparency"/>
        <w:bookmarkEnd w:id="32"/>
      </w:hyperlink>
      <w:r w:rsidRPr="00E1284A">
        <w:t>.</w:t>
      </w:r>
    </w:p>
    <w:p w14:paraId="3A45C41C" w14:textId="77777777" w:rsidR="00E1284A" w:rsidRDefault="00647AC5" w:rsidP="00E1284A">
      <w:pPr>
        <w:pStyle w:val="Heading2"/>
      </w:pPr>
      <w:r>
        <w:t>Accountability</w:t>
      </w:r>
      <w:bookmarkStart w:id="33" w:name="The_government_maintains_a_commitment_to"/>
      <w:bookmarkStart w:id="34" w:name="As_a_publicly_funded_organisation,_GBC_i"/>
      <w:bookmarkEnd w:id="33"/>
      <w:bookmarkEnd w:id="34"/>
    </w:p>
    <w:p w14:paraId="4F75946C" w14:textId="4CE2A837" w:rsidR="001D6510" w:rsidRPr="00E1284A" w:rsidRDefault="007A36C3" w:rsidP="00E1284A">
      <w:r w:rsidRPr="00E1284A">
        <w:t>As a publicly funded organisation, GBC is committed to openness and accountability. In 202</w:t>
      </w:r>
      <w:r w:rsidR="001D6510" w:rsidRPr="00E1284A">
        <w:t>4</w:t>
      </w:r>
      <w:r w:rsidRPr="00E1284A">
        <w:t>-2</w:t>
      </w:r>
      <w:r w:rsidR="001D6510" w:rsidRPr="00E1284A">
        <w:t>5</w:t>
      </w:r>
      <w:r w:rsidRPr="00E1284A">
        <w:t xml:space="preserve">, the council published a series of datasets in line with the Local Government Transparency Code 2015 and other transparency commitments </w:t>
      </w:r>
      <w:r w:rsidR="00E1284A" w:rsidRPr="00E1284A">
        <w:t>including</w:t>
      </w:r>
      <w:r w:rsidRPr="00E1284A">
        <w:t xml:space="preserve"> s</w:t>
      </w:r>
      <w:r w:rsidR="001D6510" w:rsidRPr="00E1284A">
        <w:t>enior staff salaries and organisation chart; fees, charges and contracts data; Civic Budget Book and Financial</w:t>
      </w:r>
    </w:p>
    <w:p w14:paraId="094C95ED" w14:textId="60F43EFC" w:rsidR="00647AC5" w:rsidRPr="00E1284A" w:rsidRDefault="001D6510" w:rsidP="00E1284A">
      <w:pPr>
        <w:pStyle w:val="Heading2"/>
      </w:pPr>
      <w:r w:rsidRPr="00E1284A">
        <w:t>Statements; Pay Policy Statement; and Member Allowances.</w:t>
      </w:r>
    </w:p>
    <w:p w14:paraId="09ABDDD5" w14:textId="56C377BD" w:rsidR="00647AC5" w:rsidRPr="00E1284A" w:rsidRDefault="00647AC5" w:rsidP="00E1284A">
      <w:r w:rsidRPr="00E1284A">
        <w:t xml:space="preserve">A Code of Conduct for Employees is in place and is communicated to all officers. The Corporate Customer Service Charter establishes standards expected of officers, with our website hosting specific details of the </w:t>
      </w:r>
      <w:hyperlink r:id="rId31" w:history="1">
        <w:r w:rsidRPr="00E1284A">
          <w:rPr>
            <w:rStyle w:val="Hyperlink"/>
          </w:rPr>
          <w:t>Corporate Complaints Procedure</w:t>
        </w:r>
      </w:hyperlink>
      <w:r w:rsidRPr="00E1284A">
        <w:t xml:space="preserve"> alongside details of the Local Government Ombudsman, with feedback used to share improvement and good practice across departments. The Local Government Ombudsman’s annual report is considered by the </w:t>
      </w:r>
      <w:hyperlink r:id="rId32" w:history="1">
        <w:r w:rsidRPr="00E1284A">
          <w:rPr>
            <w:rStyle w:val="Hyperlink"/>
          </w:rPr>
          <w:t>Finance and Audit Committee</w:t>
        </w:r>
      </w:hyperlink>
      <w:r w:rsidRPr="00E1284A">
        <w:t>.</w:t>
      </w:r>
    </w:p>
    <w:p w14:paraId="2169F15F" w14:textId="53901323" w:rsidR="00647AC5" w:rsidRPr="00E1284A" w:rsidRDefault="00647AC5" w:rsidP="00E1284A">
      <w:r w:rsidRPr="00E1284A">
        <w:t>The council also has a Standards Committee in place, which includes an appointed Independent Person. Th</w:t>
      </w:r>
      <w:r w:rsidR="007E457F" w:rsidRPr="00E1284A">
        <w:t>is</w:t>
      </w:r>
      <w:r w:rsidRPr="00E1284A">
        <w:t xml:space="preserve"> is underpinned by an adopted Member Code of Conduct which is regularly reviewed and establishes expected standards of behaviour. In view of these standards, </w:t>
      </w:r>
      <w:bookmarkStart w:id="35" w:name="_Hlk168928455"/>
      <w:r w:rsidRPr="00E1284A">
        <w:t xml:space="preserve">the council’s website provides details of the procedure involved for any persons with a </w:t>
      </w:r>
      <w:hyperlink r:id="rId33" w:history="1">
        <w:r w:rsidRPr="00E1284A">
          <w:rPr>
            <w:rStyle w:val="Hyperlink"/>
          </w:rPr>
          <w:t>complaint regarding a Councillor</w:t>
        </w:r>
      </w:hyperlink>
      <w:r w:rsidRPr="00E1284A">
        <w:t xml:space="preserve">. </w:t>
      </w:r>
      <w:bookmarkEnd w:id="35"/>
      <w:r w:rsidRPr="00E1284A">
        <w:t xml:space="preserve">As with the Constitution’s </w:t>
      </w:r>
      <w:hyperlink r:id="rId34" w:history="1">
        <w:r w:rsidRPr="00E1284A">
          <w:rPr>
            <w:rStyle w:val="Hyperlink"/>
          </w:rPr>
          <w:t>Procedure for dealing with Member Conduct Complaints</w:t>
        </w:r>
      </w:hyperlink>
      <w:r w:rsidRPr="00E1284A">
        <w:t xml:space="preserve">, the website provides contact details for </w:t>
      </w:r>
      <w:r w:rsidR="008C57D5" w:rsidRPr="00E1284A">
        <w:t>our</w:t>
      </w:r>
      <w:r w:rsidRPr="00E1284A">
        <w:t xml:space="preserve"> Monitoring Officer.</w:t>
      </w:r>
    </w:p>
    <w:p w14:paraId="77565CE6" w14:textId="1D7839BE" w:rsidR="007E457F" w:rsidRPr="00E1284A" w:rsidRDefault="001D6510" w:rsidP="00E1284A">
      <w:r w:rsidRPr="00E1284A">
        <w:t>Constitutionally, where decisions are based on reports presenting confidential information the public are excluded from proceedings. However, in our commitment to openness and transparency in decision making, wherever possible the council seeks to overcome this restriction by developing ‘Part A’ agenda reports (i.e. accessible to all) that provide the</w:t>
      </w:r>
      <w:r w:rsidR="00E1284A">
        <w:t xml:space="preserve"> </w:t>
      </w:r>
      <w:r w:rsidRPr="00E1284A">
        <w:t>background context, criteria and rationale to any confidential ‘Part B’ (restricted) item.</w:t>
      </w:r>
    </w:p>
    <w:p w14:paraId="0B4B9A90" w14:textId="090DC7E8" w:rsidR="00620703" w:rsidRPr="00E1284A" w:rsidRDefault="002A0034" w:rsidP="00E1284A">
      <w:r w:rsidRPr="00E1284A">
        <w:t xml:space="preserve">For the council, </w:t>
      </w:r>
      <w:r w:rsidR="00FA70A3" w:rsidRPr="00E1284A">
        <w:t xml:space="preserve">a culture of </w:t>
      </w:r>
      <w:r w:rsidR="008C57D5" w:rsidRPr="00E1284A">
        <w:t>openness</w:t>
      </w:r>
      <w:r w:rsidRPr="00E1284A">
        <w:t xml:space="preserve"> extends beyond published data</w:t>
      </w:r>
      <w:r w:rsidR="00647AC5" w:rsidRPr="00E1284A">
        <w:t xml:space="preserve"> and formal </w:t>
      </w:r>
      <w:r w:rsidR="007E457F" w:rsidRPr="00E1284A">
        <w:t>reports</w:t>
      </w:r>
      <w:r w:rsidR="00647AC5" w:rsidRPr="00E1284A">
        <w:t xml:space="preserve">. </w:t>
      </w:r>
      <w:r w:rsidRPr="00E1284A">
        <w:t xml:space="preserve">In </w:t>
      </w:r>
      <w:r w:rsidRPr="00E1284A">
        <w:lastRenderedPageBreak/>
        <w:t xml:space="preserve">committing to delivering effective engagement opportunities with local residents and </w:t>
      </w:r>
      <w:r w:rsidR="007E457F" w:rsidRPr="00E1284A">
        <w:t>b</w:t>
      </w:r>
      <w:r w:rsidRPr="00E1284A">
        <w:t xml:space="preserve">usinesses, </w:t>
      </w:r>
      <w:r w:rsidR="007E457F" w:rsidRPr="00E1284A">
        <w:t xml:space="preserve">we have </w:t>
      </w:r>
      <w:r w:rsidRPr="00E1284A">
        <w:t xml:space="preserve">an established suite of </w:t>
      </w:r>
      <w:r w:rsidR="00FA70A3" w:rsidRPr="00E1284A">
        <w:t xml:space="preserve">specific </w:t>
      </w:r>
      <w:r w:rsidRPr="00E1284A">
        <w:t xml:space="preserve">forums (e.g. </w:t>
      </w:r>
      <w:hyperlink r:id="rId35" w:history="1">
        <w:r w:rsidRPr="00E1284A">
          <w:rPr>
            <w:rStyle w:val="Hyperlink"/>
          </w:rPr>
          <w:t>Gravesham Business Network</w:t>
        </w:r>
      </w:hyperlink>
      <w:r w:rsidRPr="00E1284A">
        <w:t>) and</w:t>
      </w:r>
      <w:r w:rsidR="00647AC5" w:rsidRPr="00E1284A">
        <w:t xml:space="preserve">, through </w:t>
      </w:r>
      <w:r w:rsidR="007E457F" w:rsidRPr="00E1284A">
        <w:t>our</w:t>
      </w:r>
      <w:r w:rsidR="00647AC5" w:rsidRPr="00E1284A">
        <w:t xml:space="preserve"> Gravesham’s Big Conversation programme,</w:t>
      </w:r>
      <w:r w:rsidRPr="00E1284A">
        <w:t xml:space="preserve"> </w:t>
      </w:r>
      <w:r w:rsidR="007E457F" w:rsidRPr="00E1284A">
        <w:t xml:space="preserve">we </w:t>
      </w:r>
      <w:r w:rsidRPr="00E1284A">
        <w:t>provide a variety of consultati</w:t>
      </w:r>
      <w:r w:rsidR="00647AC5" w:rsidRPr="00E1284A">
        <w:t>ve</w:t>
      </w:r>
      <w:r w:rsidRPr="00E1284A">
        <w:t xml:space="preserve"> opportunities promoted through </w:t>
      </w:r>
      <w:r w:rsidR="00647AC5" w:rsidRPr="00E1284A">
        <w:t xml:space="preserve">the </w:t>
      </w:r>
      <w:hyperlink r:id="rId36" w:history="1">
        <w:r w:rsidRPr="00E1284A">
          <w:rPr>
            <w:rStyle w:val="Hyperlink"/>
          </w:rPr>
          <w:t>website</w:t>
        </w:r>
      </w:hyperlink>
      <w:r w:rsidR="00647AC5" w:rsidRPr="00E1284A">
        <w:t xml:space="preserve"> and </w:t>
      </w:r>
      <w:r w:rsidRPr="00E1284A">
        <w:t xml:space="preserve">platforms such as Facebook, Twitter, Instagram and YouTube </w:t>
      </w:r>
      <w:r w:rsidR="008C57D5" w:rsidRPr="00E1284A">
        <w:t>to enable</w:t>
      </w:r>
      <w:r w:rsidRPr="00E1284A">
        <w:t xml:space="preserve"> </w:t>
      </w:r>
      <w:r w:rsidR="009D2B74" w:rsidRPr="00E1284A">
        <w:t xml:space="preserve">engagement </w:t>
      </w:r>
      <w:r w:rsidRPr="00E1284A">
        <w:t>with the authority.</w:t>
      </w:r>
    </w:p>
    <w:p w14:paraId="058AB675" w14:textId="13FB6AA6" w:rsidR="00C96AA6" w:rsidRPr="00E1284A" w:rsidRDefault="002A0034" w:rsidP="00E1284A">
      <w:r w:rsidRPr="00E1284A">
        <w:t xml:space="preserve">Action </w:t>
      </w:r>
      <w:r w:rsidR="00AC6C7B" w:rsidRPr="00E1284A">
        <w:t>4</w:t>
      </w:r>
      <w:r w:rsidRPr="00E1284A">
        <w:t xml:space="preserve">: </w:t>
      </w:r>
      <w:bookmarkStart w:id="36" w:name="A_key_component_of_the_authority’s_trans"/>
      <w:bookmarkEnd w:id="36"/>
      <w:r w:rsidR="00AC6C7B" w:rsidRPr="00E1284A">
        <w:t>To test the authority’s compliance with the Local Government Transparency Code 2015, an officer-led review was undertaken in 2024-25. With the ambition of full code compliance, the delivery of a dedicated Transparency Code Action Plan to incorporate all required tasks, supported by an annual screening regime, will therefore form an AGS action in 2025-26.</w:t>
      </w:r>
    </w:p>
    <w:p w14:paraId="32C2E439" w14:textId="284BE3E6" w:rsidR="00AC6C7B" w:rsidRPr="00E1284A" w:rsidRDefault="00AC6C7B" w:rsidP="00E1284A">
      <w:bookmarkStart w:id="37" w:name="_Hlk168910573"/>
      <w:r w:rsidRPr="00E1284A">
        <w:t>Action 5: As a responsible authority serving a diverse resident population, GBC places equality as a key organisational value. The council’s Equality Policy forms part of the authority’s constituted policy framework, outlining both a commitment to equality in all forms and compliance with the statutory requirement for a suite of equality objectives that over the course of four years promote the agenda within the authority and the community more broadly. To therefore demonstrate our continued commitment, the council will publish a refreshed policy and associated suite of objectives for the four-year 2025-29 period that enable us to work towards a cohesive and inclusive borough.</w:t>
      </w:r>
    </w:p>
    <w:p w14:paraId="2DDEA998" w14:textId="77777777" w:rsidR="00E1284A" w:rsidRDefault="007A36C3" w:rsidP="00E1284A">
      <w:pPr>
        <w:pStyle w:val="Heading2"/>
      </w:pPr>
      <w:r w:rsidRPr="003A3619">
        <w:t>Trading</w:t>
      </w:r>
      <w:bookmarkStart w:id="38" w:name="As_part_of_its_plans_to_diversify_its_in"/>
      <w:bookmarkEnd w:id="38"/>
    </w:p>
    <w:p w14:paraId="5163982C" w14:textId="063156E1" w:rsidR="00AC6C7B" w:rsidRPr="00E1284A" w:rsidRDefault="00AC6C7B" w:rsidP="00E1284A">
      <w:r w:rsidRPr="00E1284A">
        <w:t>As part of plans to diversify our income streams and ultimately address the uncertainty surrounding local government funding, the council has established a commercial structure, with a number of companies.</w:t>
      </w:r>
    </w:p>
    <w:p w14:paraId="2C12FA5D" w14:textId="62CE03EB" w:rsidR="00AC6C7B" w:rsidRPr="00E1284A" w:rsidRDefault="00AC6C7B" w:rsidP="00E1284A">
      <w:r w:rsidRPr="00E1284A">
        <w:t>Rosherville Limited is the holding company for a group of entities consisting of; Rosherville Servicing Limited and Rosherville Property Development Limited, both incorporated in May 2020, and Rosherville Repairs &amp; Maintenance Limited, which was incorporated in April 2022.</w:t>
      </w:r>
    </w:p>
    <w:p w14:paraId="1274B23A" w14:textId="5939DBD7" w:rsidR="00AC6C7B" w:rsidRPr="00E1284A" w:rsidRDefault="00AC6C7B" w:rsidP="00E1284A">
      <w:r w:rsidRPr="00E1284A">
        <w:t>GBC is the sole shareholder of all entities. This enables the provision of commercial services to local residents and businesses, with profits and staffing recharges helping fund essential frontline services, whilst providing tangible social value e.g. local employment opportunities.</w:t>
      </w:r>
    </w:p>
    <w:p w14:paraId="72ACBF0F" w14:textId="28E45608" w:rsidR="00AC6C7B" w:rsidRPr="00E1284A" w:rsidRDefault="00AC6C7B" w:rsidP="00E1284A">
      <w:r w:rsidRPr="00E1284A">
        <w:t>The companies were established to operate with a high degree of commercial freedom, underpinned by a commitment to the principles and best practice advocated by the Lawyers in Local Government guidance note; The Governance of Council Interests in Companies.</w:t>
      </w:r>
    </w:p>
    <w:p w14:paraId="688903EE" w14:textId="0AD9A5F8" w:rsidR="00AC6C7B" w:rsidRPr="00E1284A" w:rsidRDefault="00AC6C7B" w:rsidP="00E1284A">
      <w:r w:rsidRPr="00E1284A">
        <w:t>Using revised guidance issued by the LGA and CIPFA, as well as best value reports into other trading companies, a thorough review was undertaken during 2022-23 to ensure a robust governance framework was in place for the companies. This resulted in a revised Board structure and approval for the appointment of an independent non-executive director at</w:t>
      </w:r>
    </w:p>
    <w:p w14:paraId="09D28F7F" w14:textId="50E57B62" w:rsidR="00AC6C7B" w:rsidRPr="00E1284A" w:rsidRDefault="00AC6C7B" w:rsidP="00E1284A">
      <w:r w:rsidRPr="00E1284A">
        <w:t>the appropriate time. This in turn led to a subsequent review of the Articles of Association and Shareholder Agreement, both approved by the Shareholder and Rosherville Boards and implemented from 1 April 2023.</w:t>
      </w:r>
    </w:p>
    <w:p w14:paraId="32B8660A" w14:textId="24E34190" w:rsidR="00AC6C7B" w:rsidRPr="00E1284A" w:rsidRDefault="00AC6C7B" w:rsidP="00E1284A">
      <w:r w:rsidRPr="00E1284A">
        <w:t>The Articles of Association continue to follow the Companies (Model Articles) Regulations 2008 with the necessary modifications to reflect accountability to the council, the authority’s requirements and importantly those matters of business which have been reserved for Shareholder Approval.</w:t>
      </w:r>
    </w:p>
    <w:p w14:paraId="138D3071" w14:textId="3CE0A09A" w:rsidR="008B072B" w:rsidRPr="00E1284A" w:rsidRDefault="00E1284A" w:rsidP="00E1284A">
      <w:r w:rsidRPr="00E1284A">
        <w:t>Specifically,</w:t>
      </w:r>
      <w:r w:rsidR="008B072B" w:rsidRPr="00E1284A">
        <w:t xml:space="preserve"> the Articles:</w:t>
      </w:r>
    </w:p>
    <w:p w14:paraId="2A880D95" w14:textId="716CDAC8" w:rsidR="008B072B" w:rsidRPr="00E1284A" w:rsidRDefault="008B072B" w:rsidP="00E1284A">
      <w:pPr>
        <w:pStyle w:val="ListParagraph"/>
        <w:numPr>
          <w:ilvl w:val="0"/>
          <w:numId w:val="23"/>
        </w:numPr>
      </w:pPr>
      <w:r w:rsidRPr="00E1284A">
        <w:t>form the basis of its constitution</w:t>
      </w:r>
    </w:p>
    <w:p w14:paraId="407DDF40" w14:textId="77777777" w:rsidR="008B072B" w:rsidRPr="00E1284A" w:rsidRDefault="008B072B" w:rsidP="00E1284A">
      <w:pPr>
        <w:pStyle w:val="ListParagraph"/>
        <w:numPr>
          <w:ilvl w:val="0"/>
          <w:numId w:val="23"/>
        </w:numPr>
      </w:pPr>
      <w:r w:rsidRPr="00E1284A">
        <w:lastRenderedPageBreak/>
        <w:t>define the responsibilities of directors;</w:t>
      </w:r>
    </w:p>
    <w:p w14:paraId="37EA7716" w14:textId="77777777" w:rsidR="008B072B" w:rsidRPr="00E1284A" w:rsidRDefault="008B072B" w:rsidP="00E1284A">
      <w:pPr>
        <w:pStyle w:val="ListParagraph"/>
        <w:numPr>
          <w:ilvl w:val="0"/>
          <w:numId w:val="23"/>
        </w:numPr>
      </w:pPr>
      <w:r w:rsidRPr="00E1284A">
        <w:t>outline core business; and</w:t>
      </w:r>
    </w:p>
    <w:p w14:paraId="38E762DB" w14:textId="77777777" w:rsidR="008B072B" w:rsidRPr="00E1284A" w:rsidRDefault="008B072B" w:rsidP="00E1284A">
      <w:pPr>
        <w:pStyle w:val="ListParagraph"/>
        <w:numPr>
          <w:ilvl w:val="0"/>
          <w:numId w:val="23"/>
        </w:numPr>
      </w:pPr>
      <w:r w:rsidRPr="00E1284A">
        <w:t>identify how shareholders exert control over the board of directors.</w:t>
      </w:r>
    </w:p>
    <w:p w14:paraId="5AF3FD3C" w14:textId="372AC9AA" w:rsidR="008B072B" w:rsidRPr="00E1284A" w:rsidRDefault="00AC6C7B" w:rsidP="00E1284A">
      <w:r w:rsidRPr="00E1284A">
        <w:t xml:space="preserve">As sole shareholder, there are also clear arrangements in relation to the council which are defined through the Shareholders Agreement, providing in detail the governance and approved </w:t>
      </w:r>
      <w:r w:rsidR="00E1284A" w:rsidRPr="00E1284A">
        <w:t>decision-making</w:t>
      </w:r>
      <w:r w:rsidRPr="00E1284A">
        <w:t xml:space="preserve"> process. The Leader of the Council (or nominated representative) acts as the</w:t>
      </w:r>
      <w:r w:rsidR="00E1284A" w:rsidRPr="00E1284A">
        <w:t xml:space="preserve"> </w:t>
      </w:r>
      <w:r w:rsidRPr="00E1284A">
        <w:t>Shareholder’s representative to provide a key link between the two parties.</w:t>
      </w:r>
    </w:p>
    <w:p w14:paraId="036BD3FA" w14:textId="7F87433D" w:rsidR="00AC6C7B" w:rsidRPr="00E1284A" w:rsidRDefault="00AC6C7B" w:rsidP="00E1284A">
      <w:r w:rsidRPr="00E1284A">
        <w:t>To support the Leader in decisions relating to Rosherville Limited, other than those reserved for Cabinet, and following the review of the governance arrangements in 2022-23, the council has established a Shareholder Advisory Board. This replaced the previous Shareholder Group which was formed at the same time as the company structure was put in place. The Board is chaired by the Chair of the Cabinet Special Advisory Committee and consists of Members from both the ruling group and opposition group.</w:t>
      </w:r>
    </w:p>
    <w:p w14:paraId="23AA1D0E" w14:textId="032B7C1E" w:rsidR="00AC6C7B" w:rsidRPr="00E1284A" w:rsidRDefault="00AC6C7B" w:rsidP="00E1284A">
      <w:r w:rsidRPr="00E1284A">
        <w:t>The Rosherville Group proactively take reports to the Advisory Board, including performance reports and updates on key projects, for discussion and critical review. Feedback from the Advisory Board is built into future decisions as required and the minutes of the Advisory board are shared with Cabinet. Specific decisions remain delegated to Cabinet for determination, in line with the Articles of Association.</w:t>
      </w:r>
    </w:p>
    <w:p w14:paraId="6C90DF05" w14:textId="774FEF56" w:rsidR="00AC6C7B" w:rsidRPr="00E1284A" w:rsidRDefault="00AC6C7B" w:rsidP="00E1284A">
      <w:r w:rsidRPr="00E1284A">
        <w:t>The companies prepare annual business plans to set out the scheduled activities for the forthcoming year, ensuring business is both in line with the council’s corporate objectives and equally provides appropriate social and financial returns for the authority. The annual business plan for the holding company is approved by Cabinet, whilst the subsidiary Business Plans are</w:t>
      </w:r>
      <w:r w:rsidR="00E1284A" w:rsidRPr="00E1284A">
        <w:t xml:space="preserve"> </w:t>
      </w:r>
      <w:r w:rsidRPr="00E1284A">
        <w:t>approved by the Board of Rosherville Limited.</w:t>
      </w:r>
    </w:p>
    <w:p w14:paraId="10754724" w14:textId="509DA2D0" w:rsidR="00AC6C7B" w:rsidRPr="00E1284A" w:rsidRDefault="00AC6C7B" w:rsidP="00E1284A">
      <w:r w:rsidRPr="00E1284A">
        <w:t>A further advancement to the council’s operational framework has been the creation of the Gravesham Community Investment Partnership (GCIP).</w:t>
      </w:r>
    </w:p>
    <w:p w14:paraId="0A121A0F" w14:textId="4A7BE70B" w:rsidR="00AC6C7B" w:rsidRPr="00E1284A" w:rsidRDefault="00AC6C7B" w:rsidP="00E1284A">
      <w:r w:rsidRPr="00E1284A">
        <w:t>Approved by Cabinet in May 2022, the objective of the partnership is to help accelerate the development of affordable housing within the Borough on sites owned by the authority. The Hill Group were selected as the preferred partner to bring forward such initiatives.</w:t>
      </w:r>
    </w:p>
    <w:p w14:paraId="5154BC64" w14:textId="576E054B" w:rsidR="00AC6C7B" w:rsidRPr="00E1284A" w:rsidRDefault="00AC6C7B" w:rsidP="00E1284A">
      <w:r w:rsidRPr="00E1284A">
        <w:t>GCIP is a Limited Liability Partnership equally owned 50:50 by GBC and Hill Investment Partnerships. The 50:50 nature of the partnership model enables the authority to retain control, whilst providing the partner a commercial imperative to maximise profits, which are split equally. For the council, any profit generated through the partnership could be used to fund</w:t>
      </w:r>
      <w:r w:rsidR="00E1284A" w:rsidRPr="00E1284A">
        <w:t xml:space="preserve"> </w:t>
      </w:r>
      <w:r w:rsidRPr="00E1284A">
        <w:t>future housing development or retrofitting of energy efficiency measures within the existing stock.</w:t>
      </w:r>
    </w:p>
    <w:p w14:paraId="54C406B5" w14:textId="19190A3C" w:rsidR="00AC6C7B" w:rsidRDefault="00AC6C7B" w:rsidP="00E1284A">
      <w:r w:rsidRPr="00E1284A">
        <w:t>Such partnerships enable risk-sharing and bring the benefit of commercial skills and expertise, adding social value through training and apprenticeships, and safeguarding quality in trusted track records in the development of new homes.</w:t>
      </w:r>
      <w:bookmarkEnd w:id="37"/>
    </w:p>
    <w:p w14:paraId="7A52CDAE" w14:textId="77777777" w:rsidR="00E1284A" w:rsidRDefault="007A36C3" w:rsidP="00E1284A">
      <w:pPr>
        <w:pStyle w:val="Heading2"/>
      </w:pPr>
      <w:r w:rsidRPr="00E1284A">
        <w:t>Review</w:t>
      </w:r>
      <w:bookmarkStart w:id="39" w:name="In_compliance_with_the_Accounts_and_Audi"/>
      <w:bookmarkEnd w:id="39"/>
    </w:p>
    <w:p w14:paraId="199F81DD" w14:textId="526EA8E9" w:rsidR="00177B9C" w:rsidRPr="00E1284A" w:rsidRDefault="007A36C3" w:rsidP="00E1284A">
      <w:r w:rsidRPr="00E1284A">
        <w:t xml:space="preserve">In compliance with the Accounts and Audit Regulations 2015, the council has responsibility for conducting an annual review of the effectiveness of its governance framework, including the system of internal control. </w:t>
      </w:r>
    </w:p>
    <w:p w14:paraId="00A129DB" w14:textId="77777777" w:rsidR="00E1284A" w:rsidRDefault="007A36C3" w:rsidP="00E1284A">
      <w:r w:rsidRPr="00E1284A">
        <w:t xml:space="preserve">The review is undertaken using the established criteria of the CIPFA/SOLACE Framework; </w:t>
      </w:r>
      <w:r w:rsidRPr="00E1284A">
        <w:lastRenderedPageBreak/>
        <w:t>Delivering Good Governance in Local Government, as adopted in the council’s Code of Corporate Governance. In support of the framework, the following have been considered in the 202</w:t>
      </w:r>
      <w:r w:rsidR="00AC6C7B" w:rsidRPr="00E1284A">
        <w:t>4</w:t>
      </w:r>
      <w:r w:rsidRPr="00E1284A">
        <w:t>-</w:t>
      </w:r>
      <w:bookmarkStart w:id="40" w:name="_The_continued_value_and_effectiveness_"/>
      <w:bookmarkEnd w:id="40"/>
      <w:r w:rsidRPr="00E1284A">
        <w:t>2</w:t>
      </w:r>
      <w:r w:rsidR="00AC6C7B" w:rsidRPr="00E1284A">
        <w:t>5</w:t>
      </w:r>
      <w:r w:rsidRPr="00E1284A">
        <w:t xml:space="preserve"> review:</w:t>
      </w:r>
    </w:p>
    <w:p w14:paraId="0AE5C2EA" w14:textId="77777777" w:rsidR="00E1284A" w:rsidRDefault="007A36C3" w:rsidP="00E0069B">
      <w:pPr>
        <w:pStyle w:val="ListParagraph"/>
        <w:numPr>
          <w:ilvl w:val="0"/>
          <w:numId w:val="23"/>
        </w:numPr>
      </w:pPr>
      <w:r w:rsidRPr="00E1284A">
        <w:t xml:space="preserve">The continued value and effectiveness of the council’s governance framework as </w:t>
      </w:r>
      <w:bookmarkStart w:id="41" w:name="_Reviews_carried_out_by_Internal_Audit,"/>
      <w:bookmarkEnd w:id="41"/>
      <w:r w:rsidRPr="00E1284A">
        <w:t>defined in the Code of Corporate Governance;</w:t>
      </w:r>
    </w:p>
    <w:p w14:paraId="50B7D403" w14:textId="77777777" w:rsidR="00E1284A" w:rsidRDefault="007A36C3" w:rsidP="00B225D6">
      <w:pPr>
        <w:pStyle w:val="ListParagraph"/>
        <w:numPr>
          <w:ilvl w:val="0"/>
          <w:numId w:val="23"/>
        </w:numPr>
      </w:pPr>
      <w:r w:rsidRPr="00E1284A">
        <w:t xml:space="preserve">Reviews carried out by Internal Audit, external auditors and other review bodies that </w:t>
      </w:r>
      <w:bookmarkStart w:id="42" w:name="_The_opinion_on_the_overall_adequacy_an"/>
      <w:bookmarkEnd w:id="42"/>
      <w:r w:rsidRPr="00E1284A">
        <w:t>scrutinise the systems of internal control;</w:t>
      </w:r>
    </w:p>
    <w:p w14:paraId="2C850CBD" w14:textId="77777777" w:rsidR="00E1284A" w:rsidRDefault="007A36C3" w:rsidP="002E4B8F">
      <w:pPr>
        <w:pStyle w:val="ListParagraph"/>
        <w:numPr>
          <w:ilvl w:val="0"/>
          <w:numId w:val="23"/>
        </w:numPr>
      </w:pPr>
      <w:r w:rsidRPr="00E1284A">
        <w:t xml:space="preserve">The opinion on the overall adequacy and effectiveness of the overall control </w:t>
      </w:r>
      <w:bookmarkStart w:id="43" w:name="_The_completion_of_control_questionnair"/>
      <w:bookmarkEnd w:id="43"/>
      <w:r w:rsidRPr="00E1284A">
        <w:t>environment from the Head of Internal Audit;</w:t>
      </w:r>
    </w:p>
    <w:p w14:paraId="6A5A760E" w14:textId="77777777" w:rsidR="00E1284A" w:rsidRDefault="007A36C3" w:rsidP="007526AA">
      <w:pPr>
        <w:pStyle w:val="ListParagraph"/>
        <w:numPr>
          <w:ilvl w:val="0"/>
          <w:numId w:val="23"/>
        </w:numPr>
      </w:pPr>
      <w:r w:rsidRPr="00E1284A">
        <w:t xml:space="preserve">The completion of control questionnaires by the </w:t>
      </w:r>
      <w:r w:rsidR="00AC6C7B" w:rsidRPr="00E1284A">
        <w:t xml:space="preserve">Deputy </w:t>
      </w:r>
      <w:r w:rsidRPr="00E1284A">
        <w:t>Monitoring Officer, Chief Financial (s151) Officer and the Head of Internal Audit; and</w:t>
      </w:r>
      <w:bookmarkStart w:id="44" w:name="The_completion_of_self-assessment_contro"/>
      <w:bookmarkEnd w:id="44"/>
    </w:p>
    <w:p w14:paraId="1489FC4C" w14:textId="09179FCF" w:rsidR="00902F56" w:rsidRPr="00E1284A" w:rsidRDefault="007A36C3" w:rsidP="007526AA">
      <w:pPr>
        <w:pStyle w:val="ListParagraph"/>
        <w:numPr>
          <w:ilvl w:val="0"/>
          <w:numId w:val="23"/>
        </w:numPr>
      </w:pPr>
      <w:r w:rsidRPr="00E1284A">
        <w:t xml:space="preserve">The completion of self-assessment control questionnaires by the Chief Executive, Directors, Assistant Directors, </w:t>
      </w:r>
      <w:r w:rsidR="00715BD7" w:rsidRPr="00E1284A">
        <w:t>Heads of Service</w:t>
      </w:r>
      <w:r w:rsidR="00177B9C" w:rsidRPr="00E1284A">
        <w:t>,</w:t>
      </w:r>
      <w:r w:rsidRPr="00E1284A">
        <w:t xml:space="preserve"> and other key managers within the </w:t>
      </w:r>
      <w:bookmarkStart w:id="45" w:name="Conclusion:_In_line_with_the_council’s_s"/>
      <w:bookmarkEnd w:id="45"/>
      <w:r w:rsidRPr="00E1284A">
        <w:t>council.</w:t>
      </w:r>
    </w:p>
    <w:p w14:paraId="475FECDB" w14:textId="7CA05AE7" w:rsidR="00AC6C7B" w:rsidRDefault="007A36C3" w:rsidP="00EC7C92">
      <w:r w:rsidRPr="00AC6C7B">
        <w:t>Conclusion</w:t>
      </w:r>
      <w:r w:rsidR="00A2632D" w:rsidRPr="00AC6C7B">
        <w:t xml:space="preserve">: </w:t>
      </w:r>
      <w:r w:rsidR="00AC6C7B" w:rsidRPr="00AC6C7B">
        <w:t>In line with the council’s statutory responsibilities, the conclusion to the</w:t>
      </w:r>
      <w:r w:rsidR="00E1284A">
        <w:t xml:space="preserve"> </w:t>
      </w:r>
      <w:r w:rsidR="00AC6C7B" w:rsidRPr="00AC6C7B">
        <w:t>annual review process for the year ended 31 March 2025 is that the</w:t>
      </w:r>
      <w:r w:rsidR="00AC6C7B">
        <w:t xml:space="preserve"> </w:t>
      </w:r>
      <w:r w:rsidR="00AC6C7B" w:rsidRPr="00AC6C7B">
        <w:t>arrangements in place are considered to be fit for purpose and in</w:t>
      </w:r>
      <w:r w:rsidR="00AC6C7B">
        <w:t xml:space="preserve"> </w:t>
      </w:r>
      <w:r w:rsidR="00AC6C7B" w:rsidRPr="00AC6C7B">
        <w:t>accordance with the council’s governance framework, with no significant</w:t>
      </w:r>
      <w:r w:rsidR="00AC6C7B">
        <w:t xml:space="preserve"> </w:t>
      </w:r>
      <w:r w:rsidR="00AC6C7B" w:rsidRPr="00AC6C7B">
        <w:t>areas of concern.</w:t>
      </w:r>
    </w:p>
    <w:p w14:paraId="68F258EC" w14:textId="0C3B0E42" w:rsidR="00AC6C7B" w:rsidRPr="00AC6C7B" w:rsidRDefault="00AC6C7B" w:rsidP="00EC7C92">
      <w:r w:rsidRPr="00AC6C7B">
        <w:t>The key findings of the annual review form the basis of the</w:t>
      </w:r>
      <w:r>
        <w:t xml:space="preserve"> </w:t>
      </w:r>
      <w:r w:rsidRPr="00AC6C7B">
        <w:t>recommendations made in this 2024-25 AGS to further enhance the council’s existing governance and control environment in 2025-26.</w:t>
      </w:r>
    </w:p>
    <w:p w14:paraId="0C96C60E" w14:textId="77777777" w:rsidR="00E1284A" w:rsidRDefault="008F2C51" w:rsidP="00E1284A">
      <w:r w:rsidRPr="00F819F7">
        <w:t xml:space="preserve">This AGS was considered by the </w:t>
      </w:r>
      <w:r w:rsidR="00177B9C">
        <w:t>C</w:t>
      </w:r>
      <w:r w:rsidR="00177B9C" w:rsidRPr="00805A73">
        <w:t>orporate</w:t>
      </w:r>
      <w:r w:rsidRPr="00805A73">
        <w:t xml:space="preserve"> Management Team on </w:t>
      </w:r>
      <w:r w:rsidR="00177B9C" w:rsidRPr="00805A73">
        <w:t>2</w:t>
      </w:r>
      <w:r w:rsidR="00AC6C7B">
        <w:t>4</w:t>
      </w:r>
      <w:r w:rsidR="00805A73" w:rsidRPr="00805A73">
        <w:t xml:space="preserve"> June </w:t>
      </w:r>
      <w:r w:rsidR="00177B9C" w:rsidRPr="00805A73">
        <w:t>202</w:t>
      </w:r>
      <w:r w:rsidR="00AC6C7B">
        <w:t>5</w:t>
      </w:r>
      <w:r w:rsidR="00177B9C" w:rsidRPr="00805A73">
        <w:t xml:space="preserve"> </w:t>
      </w:r>
      <w:r w:rsidRPr="00805A73">
        <w:t>and</w:t>
      </w:r>
      <w:r w:rsidR="00177B9C" w:rsidRPr="00805A73">
        <w:t xml:space="preserve"> presented to </w:t>
      </w:r>
      <w:r w:rsidRPr="00805A73">
        <w:t>the Finance &amp; Audit Committee on 1</w:t>
      </w:r>
      <w:r w:rsidR="00AC6C7B">
        <w:t>5</w:t>
      </w:r>
      <w:r w:rsidRPr="00805A73">
        <w:t xml:space="preserve"> July 202</w:t>
      </w:r>
      <w:bookmarkStart w:id="46" w:name="Although_not_presenting_any_significant_"/>
      <w:bookmarkEnd w:id="46"/>
      <w:r w:rsidR="00AC6C7B">
        <w:t>5.</w:t>
      </w:r>
    </w:p>
    <w:p w14:paraId="7EDB08C1" w14:textId="77777777" w:rsidR="00E1284A" w:rsidRPr="00E1284A" w:rsidRDefault="00F044CC" w:rsidP="00E1284A">
      <w:pPr>
        <w:pStyle w:val="Heading2"/>
      </w:pPr>
      <w:r w:rsidRPr="00F6578A">
        <w:t xml:space="preserve">Plan </w:t>
      </w:r>
    </w:p>
    <w:p w14:paraId="5D6B5C06" w14:textId="7B6F5441" w:rsidR="00F044CC" w:rsidRPr="00E1284A" w:rsidRDefault="002E2380" w:rsidP="00E1284A">
      <w:pPr>
        <w:rPr>
          <w:rFonts w:eastAsiaTheme="majorEastAsia"/>
          <w:color w:val="365F91" w:themeColor="accent1" w:themeShade="BF"/>
          <w:sz w:val="26"/>
          <w:szCs w:val="26"/>
        </w:rPr>
      </w:pPr>
      <w:r w:rsidRPr="00F819F7">
        <w:t xml:space="preserve">Although not presenting any significant governance and internal control issues, the annual review did present opportunities for enhancement of the council’s governance environment. In endorsing this AGS, the Finance </w:t>
      </w:r>
      <w:r w:rsidR="00F23E5A">
        <w:t>&amp;</w:t>
      </w:r>
      <w:r w:rsidRPr="00F819F7">
        <w:t xml:space="preserve"> Audit Committee therefore agree to the following activities being delivered in 202</w:t>
      </w:r>
      <w:r w:rsidR="00B205E5">
        <w:t>5</w:t>
      </w:r>
      <w:r w:rsidRPr="00F819F7">
        <w:t>-2</w:t>
      </w:r>
      <w:r w:rsidR="00B205E5">
        <w:t>6</w:t>
      </w:r>
      <w:r w:rsidRPr="00F819F7">
        <w:t xml:space="preserve">: </w:t>
      </w:r>
    </w:p>
    <w:tbl>
      <w:tblPr>
        <w:tblW w:w="106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56"/>
        <w:gridCol w:w="6158"/>
        <w:gridCol w:w="3118"/>
      </w:tblGrid>
      <w:tr w:rsidR="00DE5DE6" w:rsidRPr="00F819F7" w14:paraId="3A71EF9B" w14:textId="77777777" w:rsidTr="00E1284A">
        <w:trPr>
          <w:trHeight w:val="615"/>
        </w:trPr>
        <w:tc>
          <w:tcPr>
            <w:tcW w:w="1356" w:type="dxa"/>
            <w:vAlign w:val="center"/>
          </w:tcPr>
          <w:p w14:paraId="517FB6A4" w14:textId="77777777" w:rsidR="00DE5DE6" w:rsidRPr="00F819F7" w:rsidRDefault="00DE5DE6" w:rsidP="00EC7C92">
            <w:pPr>
              <w:pStyle w:val="TableParagraph"/>
            </w:pPr>
            <w:bookmarkStart w:id="47" w:name="Control"/>
            <w:bookmarkEnd w:id="47"/>
            <w:r w:rsidRPr="00F819F7">
              <w:t>Control</w:t>
            </w:r>
          </w:p>
        </w:tc>
        <w:tc>
          <w:tcPr>
            <w:tcW w:w="6158" w:type="dxa"/>
            <w:vAlign w:val="center"/>
          </w:tcPr>
          <w:p w14:paraId="2B8EA425" w14:textId="77777777" w:rsidR="00DE5DE6" w:rsidRPr="00F819F7" w:rsidRDefault="00DE5DE6" w:rsidP="00EC7C92">
            <w:pPr>
              <w:pStyle w:val="TableParagraph"/>
            </w:pPr>
            <w:bookmarkStart w:id="48" w:name="Action"/>
            <w:bookmarkEnd w:id="48"/>
            <w:r w:rsidRPr="00F819F7">
              <w:t>Action</w:t>
            </w:r>
          </w:p>
        </w:tc>
        <w:tc>
          <w:tcPr>
            <w:tcW w:w="3118" w:type="dxa"/>
            <w:vAlign w:val="center"/>
          </w:tcPr>
          <w:p w14:paraId="084782CF" w14:textId="77777777" w:rsidR="00DE5DE6" w:rsidRPr="00F819F7" w:rsidRDefault="00DE5DE6" w:rsidP="00EC7C92">
            <w:pPr>
              <w:pStyle w:val="TableParagraph"/>
            </w:pPr>
            <w:bookmarkStart w:id="49" w:name="Objective"/>
            <w:bookmarkStart w:id="50" w:name="Corporate_Plan"/>
            <w:bookmarkEnd w:id="49"/>
            <w:bookmarkEnd w:id="50"/>
            <w:r w:rsidRPr="00F819F7">
              <w:t>Corporate</w:t>
            </w:r>
            <w:r w:rsidRPr="00F819F7">
              <w:rPr>
                <w:spacing w:val="-4"/>
              </w:rPr>
              <w:t xml:space="preserve"> Plan</w:t>
            </w:r>
          </w:p>
        </w:tc>
      </w:tr>
      <w:tr w:rsidR="00B04C44" w:rsidRPr="00F819F7" w14:paraId="5B67F3C0" w14:textId="77777777" w:rsidTr="00E1284A">
        <w:trPr>
          <w:trHeight w:val="2551"/>
        </w:trPr>
        <w:tc>
          <w:tcPr>
            <w:tcW w:w="1356" w:type="dxa"/>
            <w:shd w:val="clear" w:color="auto" w:fill="FFFFFF" w:themeFill="background1"/>
            <w:vAlign w:val="center"/>
          </w:tcPr>
          <w:p w14:paraId="44B1BE4C" w14:textId="40DD0B4A" w:rsidR="00B04C44" w:rsidRPr="002C0E78" w:rsidRDefault="00B04C44" w:rsidP="00E1284A">
            <w:r w:rsidRPr="00B04C44">
              <w:t>Corporate</w:t>
            </w:r>
            <w:r w:rsidR="00E1284A">
              <w:t xml:space="preserve"> </w:t>
            </w:r>
            <w:r w:rsidRPr="00B04C44">
              <w:t>Governance</w:t>
            </w:r>
          </w:p>
        </w:tc>
        <w:tc>
          <w:tcPr>
            <w:tcW w:w="6158" w:type="dxa"/>
            <w:shd w:val="clear" w:color="auto" w:fill="FFFFFF" w:themeFill="background1"/>
          </w:tcPr>
          <w:p w14:paraId="40EF1D02" w14:textId="77777777" w:rsidR="00E1284A" w:rsidRDefault="00B04C44" w:rsidP="00EC7C92">
            <w:r w:rsidRPr="00B04C44">
              <w:t>The council’s corporate governance framework is based on a set of industry standard principles and</w:t>
            </w:r>
            <w:r>
              <w:t xml:space="preserve"> </w:t>
            </w:r>
            <w:r w:rsidRPr="00B04C44">
              <w:t>adopted best practice. In 2024-25, in addition to CIPFA/SOLACE issuing a refreshed set of corporate</w:t>
            </w:r>
            <w:r>
              <w:t xml:space="preserve"> </w:t>
            </w:r>
            <w:r w:rsidRPr="00B04C44">
              <w:t xml:space="preserve">governance principles, new Global Internal Audit Standards were also published. </w:t>
            </w:r>
          </w:p>
          <w:p w14:paraId="71DE3822" w14:textId="1EF53B42" w:rsidR="00B04C44" w:rsidRPr="002C0E78" w:rsidRDefault="00B04C44" w:rsidP="00EC7C92">
            <w:r w:rsidRPr="00B04C44">
              <w:t>These key</w:t>
            </w:r>
            <w:r>
              <w:t xml:space="preserve"> </w:t>
            </w:r>
            <w:r w:rsidRPr="00B04C44">
              <w:t>governance milestones will take effect for the 2025-26 year, and therefore a full review of the</w:t>
            </w:r>
            <w:r>
              <w:t xml:space="preserve"> </w:t>
            </w:r>
            <w:r w:rsidRPr="00B04C44">
              <w:t>council’s corporate governance framework will form an AGS action for 2025-26.</w:t>
            </w:r>
          </w:p>
        </w:tc>
        <w:tc>
          <w:tcPr>
            <w:tcW w:w="3118" w:type="dxa"/>
            <w:shd w:val="clear" w:color="auto" w:fill="FFFFFF" w:themeFill="background1"/>
            <w:vAlign w:val="center"/>
          </w:tcPr>
          <w:p w14:paraId="330BC2EA" w14:textId="77777777" w:rsidR="00B04C44" w:rsidRPr="002C0E78" w:rsidRDefault="00B04C44" w:rsidP="00EC7C92">
            <w:r w:rsidRPr="002C0E78">
              <w:t>#onecouncil</w:t>
            </w:r>
          </w:p>
          <w:p w14:paraId="654153FC" w14:textId="77777777" w:rsidR="00B04C44" w:rsidRDefault="00B04C44" w:rsidP="00EC7C92">
            <w:pPr>
              <w:rPr>
                <w:rStyle w:val="A5"/>
                <w:rFonts w:cs="Arial"/>
                <w:b/>
              </w:rPr>
            </w:pPr>
            <w:r w:rsidRPr="002C0E78">
              <w:t xml:space="preserve">Corporate </w:t>
            </w:r>
            <w:r w:rsidRPr="002C0E78">
              <w:rPr>
                <w:bCs/>
              </w:rPr>
              <w:t>compliance</w:t>
            </w:r>
            <w:r w:rsidRPr="002C0E78">
              <w:rPr>
                <w:rStyle w:val="A5"/>
                <w:rFonts w:cs="Arial"/>
                <w:b/>
              </w:rPr>
              <w:t xml:space="preserve">: </w:t>
            </w:r>
          </w:p>
          <w:p w14:paraId="751C57F9" w14:textId="2CA4DEDB" w:rsidR="00B04C44" w:rsidRPr="00B04C44" w:rsidRDefault="00B04C44" w:rsidP="00EC7C92">
            <w:pPr>
              <w:rPr>
                <w:u w:val="single"/>
              </w:rPr>
            </w:pPr>
            <w:r w:rsidRPr="002C0E78">
              <w:rPr>
                <w:rStyle w:val="A5"/>
                <w:rFonts w:cs="Arial"/>
                <w:i/>
                <w:iCs/>
              </w:rPr>
              <w:t xml:space="preserve">a responsible organisation, ensuring all constitutional, policy and legislative demands are met, and pro-active </w:t>
            </w:r>
            <w:r w:rsidRPr="002C0E78">
              <w:t>risk management practices adopted.</w:t>
            </w:r>
          </w:p>
        </w:tc>
      </w:tr>
      <w:tr w:rsidR="00DE5DE6" w:rsidRPr="00F819F7" w14:paraId="0853BD9C" w14:textId="77777777" w:rsidTr="00E1284A">
        <w:trPr>
          <w:trHeight w:val="3530"/>
        </w:trPr>
        <w:tc>
          <w:tcPr>
            <w:tcW w:w="1356" w:type="dxa"/>
            <w:shd w:val="clear" w:color="auto" w:fill="FFFFFF" w:themeFill="background1"/>
            <w:vAlign w:val="center"/>
          </w:tcPr>
          <w:p w14:paraId="4001CDD2" w14:textId="77777777" w:rsidR="00DE5DE6" w:rsidRPr="002C0E78" w:rsidRDefault="00DE5DE6" w:rsidP="00EC7C92">
            <w:pPr>
              <w:pStyle w:val="TableParagraph"/>
            </w:pPr>
          </w:p>
          <w:p w14:paraId="0A725B89" w14:textId="7A76C93B" w:rsidR="00DE5DE6" w:rsidRPr="002C0E78" w:rsidRDefault="00E1284A" w:rsidP="00EC7C92">
            <w:bookmarkStart w:id="51" w:name="Constitution"/>
            <w:bookmarkEnd w:id="51"/>
            <w:r w:rsidRPr="002C0E78">
              <w:t xml:space="preserve">Overview </w:t>
            </w:r>
            <w:r>
              <w:t>Scrutiny</w:t>
            </w:r>
          </w:p>
          <w:p w14:paraId="6BAC5B81" w14:textId="77777777" w:rsidR="00DE5DE6" w:rsidRPr="002C0E78" w:rsidRDefault="00DE5DE6" w:rsidP="00EC7C92"/>
          <w:p w14:paraId="6DE0D519" w14:textId="77777777" w:rsidR="00DE5DE6" w:rsidRPr="002C0E78" w:rsidRDefault="00DE5DE6" w:rsidP="00EC7C92"/>
          <w:p w14:paraId="5529C6C0" w14:textId="4E3F4FAF" w:rsidR="00DE5DE6" w:rsidRPr="002C0E78" w:rsidRDefault="00DE5DE6" w:rsidP="00EC7C92"/>
        </w:tc>
        <w:tc>
          <w:tcPr>
            <w:tcW w:w="6158" w:type="dxa"/>
            <w:shd w:val="clear" w:color="auto" w:fill="FFFFFF" w:themeFill="background1"/>
          </w:tcPr>
          <w:p w14:paraId="06A3A8EE" w14:textId="3E20A224" w:rsidR="00B04C44" w:rsidRDefault="00B04C44" w:rsidP="00EC7C92">
            <w:bookmarkStart w:id="52" w:name="The_Constitution_is_an_integral_componen"/>
            <w:bookmarkEnd w:id="52"/>
            <w:r w:rsidRPr="00B04C44">
              <w:t>Government guidance relating to cultural and governance failings in local authorities identifies the</w:t>
            </w:r>
            <w:r>
              <w:t xml:space="preserve"> </w:t>
            </w:r>
            <w:r w:rsidRPr="00B04C44">
              <w:t>requirement for a fully effective scrutiny function to ensure a robust operating environment. In 2024-25, the council’s Overview Scrutiny Committee met for three of nine scheduled meetings. Aligned to</w:t>
            </w:r>
            <w:r>
              <w:t xml:space="preserve"> </w:t>
            </w:r>
            <w:r w:rsidRPr="00B04C44">
              <w:t>that, the committee currently does not have an operational programme of works, traditionally</w:t>
            </w:r>
            <w:r w:rsidR="00E1284A">
              <w:t xml:space="preserve"> </w:t>
            </w:r>
            <w:r w:rsidRPr="00B04C44">
              <w:t>delivered through an adopted programme of policy reviews.</w:t>
            </w:r>
          </w:p>
          <w:p w14:paraId="3EBA8D84" w14:textId="570DFDAD" w:rsidR="00DE5DE6" w:rsidRPr="002C0E78" w:rsidRDefault="00B04C44" w:rsidP="00EC7C92">
            <w:r w:rsidRPr="00B04C44">
              <w:t>Supported by the provision of full Member awareness training via Centre for Governance and</w:t>
            </w:r>
            <w:r>
              <w:t xml:space="preserve"> </w:t>
            </w:r>
            <w:r w:rsidRPr="00B04C44">
              <w:t>Scrutiny, 2025-26 will see a renewed focus on the provision of an effective Overview Scrutiny</w:t>
            </w:r>
            <w:r>
              <w:t xml:space="preserve"> </w:t>
            </w:r>
            <w:r w:rsidRPr="00B04C44">
              <w:t>Committee for the authority.</w:t>
            </w:r>
          </w:p>
        </w:tc>
        <w:tc>
          <w:tcPr>
            <w:tcW w:w="3118" w:type="dxa"/>
            <w:shd w:val="clear" w:color="auto" w:fill="FFFFFF" w:themeFill="background1"/>
            <w:vAlign w:val="center"/>
          </w:tcPr>
          <w:p w14:paraId="0E99AC07" w14:textId="77777777" w:rsidR="002C0E78" w:rsidRPr="002C0E78" w:rsidRDefault="00DE5DE6" w:rsidP="00EC7C92">
            <w:r w:rsidRPr="002C0E78">
              <w:t>#</w:t>
            </w:r>
            <w:r w:rsidR="00960A4E" w:rsidRPr="002C0E78">
              <w:t>onecouncil</w:t>
            </w:r>
            <w:bookmarkStart w:id="53" w:name="_Hlk154052893"/>
          </w:p>
          <w:p w14:paraId="3B73A973" w14:textId="77777777" w:rsidR="002C0E78" w:rsidRDefault="00960A4E" w:rsidP="00EC7C92">
            <w:pPr>
              <w:rPr>
                <w:rStyle w:val="A5"/>
                <w:rFonts w:cs="Arial"/>
                <w:b/>
              </w:rPr>
            </w:pPr>
            <w:r w:rsidRPr="002C0E78">
              <w:t xml:space="preserve">Corporate </w:t>
            </w:r>
            <w:r w:rsidRPr="002C0E78">
              <w:rPr>
                <w:bCs/>
              </w:rPr>
              <w:t>compliance</w:t>
            </w:r>
            <w:r w:rsidRPr="002C0E78">
              <w:rPr>
                <w:rStyle w:val="A5"/>
                <w:rFonts w:cs="Arial"/>
                <w:b/>
              </w:rPr>
              <w:t xml:space="preserve">: </w:t>
            </w:r>
          </w:p>
          <w:p w14:paraId="3E6E373E" w14:textId="18ACE256" w:rsidR="00960A4E" w:rsidRPr="002C0E78" w:rsidRDefault="00960A4E" w:rsidP="00EC7C92">
            <w:pPr>
              <w:rPr>
                <w:u w:val="single"/>
              </w:rPr>
            </w:pPr>
            <w:r w:rsidRPr="002C0E78">
              <w:rPr>
                <w:rStyle w:val="A5"/>
                <w:rFonts w:cs="Arial"/>
                <w:i/>
                <w:iCs/>
              </w:rPr>
              <w:t xml:space="preserve">a responsible organisation, ensuring all constitutional, policy and legislative demands are met, and pro-active </w:t>
            </w:r>
            <w:r w:rsidRPr="002C0E78">
              <w:t>risk management practices adopted.</w:t>
            </w:r>
          </w:p>
          <w:bookmarkEnd w:id="53"/>
          <w:p w14:paraId="77580F66" w14:textId="254A2CB4" w:rsidR="00DE5DE6" w:rsidRPr="002C0E78" w:rsidRDefault="00DE5DE6" w:rsidP="00EC7C92">
            <w:pPr>
              <w:rPr>
                <w:highlight w:val="yellow"/>
              </w:rPr>
            </w:pPr>
          </w:p>
        </w:tc>
      </w:tr>
      <w:tr w:rsidR="00DE5DE6" w:rsidRPr="00F819F7" w14:paraId="4398A086" w14:textId="77777777" w:rsidTr="00E1284A">
        <w:trPr>
          <w:trHeight w:val="2137"/>
        </w:trPr>
        <w:tc>
          <w:tcPr>
            <w:tcW w:w="1356" w:type="dxa"/>
            <w:shd w:val="clear" w:color="auto" w:fill="FFFFFF" w:themeFill="background1"/>
            <w:vAlign w:val="center"/>
          </w:tcPr>
          <w:p w14:paraId="1C652A64" w14:textId="204D5F67" w:rsidR="00DE5DE6" w:rsidRPr="00715BD7" w:rsidRDefault="00B04C44" w:rsidP="00EC7C92">
            <w:pPr>
              <w:pStyle w:val="TableParagraph"/>
              <w:rPr>
                <w:highlight w:val="yellow"/>
              </w:rPr>
            </w:pPr>
            <w:r>
              <w:t>Local Plan</w:t>
            </w:r>
          </w:p>
        </w:tc>
        <w:tc>
          <w:tcPr>
            <w:tcW w:w="6158" w:type="dxa"/>
            <w:shd w:val="clear" w:color="auto" w:fill="FFFFFF" w:themeFill="background1"/>
          </w:tcPr>
          <w:p w14:paraId="1E12B054" w14:textId="173260DB" w:rsidR="00B04C44" w:rsidRDefault="00B04C44" w:rsidP="00EC7C92">
            <w:r w:rsidRPr="00B04C44">
              <w:t>Working in conjunction with the Corporate Plan and the strategic vision for the borough presented via</w:t>
            </w:r>
            <w:r>
              <w:t xml:space="preserve"> </w:t>
            </w:r>
            <w:r w:rsidRPr="00B04C44">
              <w:t>Gravesham 2040 is the council’s Local Plan. Underpinned by a Local Development Scheme, the</w:t>
            </w:r>
            <w:r>
              <w:t xml:space="preserve"> </w:t>
            </w:r>
            <w:r w:rsidRPr="00B04C44">
              <w:t>Local Plan sets out the statutory spatial framework for growth and development in the borough</w:t>
            </w:r>
            <w:r>
              <w:t xml:space="preserve"> </w:t>
            </w:r>
            <w:r w:rsidRPr="00B04C44">
              <w:t>across; housing needs, commercial, public and private development, including transport</w:t>
            </w:r>
            <w:r>
              <w:t xml:space="preserve"> </w:t>
            </w:r>
            <w:r w:rsidRPr="00B04C44">
              <w:t>infrastructure, and protection for the local environment.</w:t>
            </w:r>
          </w:p>
          <w:p w14:paraId="7017F28D" w14:textId="3A12D811" w:rsidR="00B04C44" w:rsidRPr="002C0E78" w:rsidRDefault="00B04C44" w:rsidP="00EC7C92">
            <w:r w:rsidRPr="00B04C44">
              <w:t>A key point of reference in the council’s constituted Policy Framework, the delivery of a new Local</w:t>
            </w:r>
            <w:r>
              <w:t xml:space="preserve"> </w:t>
            </w:r>
            <w:r w:rsidRPr="00B04C44">
              <w:t>Plan is an essential governance control and work towards this will therefore form an AGS</w:t>
            </w:r>
            <w:r>
              <w:t xml:space="preserve"> </w:t>
            </w:r>
            <w:r w:rsidRPr="00B04C44">
              <w:t>recommendation for the council in 2025-26.</w:t>
            </w:r>
          </w:p>
        </w:tc>
        <w:tc>
          <w:tcPr>
            <w:tcW w:w="3118" w:type="dxa"/>
            <w:shd w:val="clear" w:color="auto" w:fill="FFFFFF" w:themeFill="background1"/>
            <w:vAlign w:val="center"/>
          </w:tcPr>
          <w:p w14:paraId="1B4BA879" w14:textId="23160F39" w:rsidR="00DE5DE6" w:rsidRPr="002C0E78" w:rsidRDefault="00DE5DE6" w:rsidP="00EC7C92">
            <w:r w:rsidRPr="002C0E78">
              <w:t>#</w:t>
            </w:r>
            <w:r w:rsidR="002C0E78" w:rsidRPr="002C0E78">
              <w:t>oneborough</w:t>
            </w:r>
          </w:p>
          <w:p w14:paraId="7133860B" w14:textId="6EE9BE79" w:rsidR="00B04C44" w:rsidRDefault="00B04C44" w:rsidP="00EC7C92">
            <w:pPr>
              <w:rPr>
                <w:rFonts w:ascii="Arial-BoldMT" w:eastAsiaTheme="minorHAnsi" w:hAnsi="Arial-BoldMT" w:cs="Arial-BoldMT"/>
                <w:bCs/>
                <w:sz w:val="20"/>
                <w:szCs w:val="20"/>
              </w:rPr>
            </w:pPr>
            <w:r w:rsidRPr="00B04C44">
              <w:t>Sustainable development:</w:t>
            </w:r>
            <w:r>
              <w:rPr>
                <w:rFonts w:ascii="Arial-BoldMT" w:eastAsiaTheme="minorHAnsi" w:hAnsi="Arial-BoldMT" w:cs="Arial-BoldMT"/>
                <w:bCs/>
                <w:sz w:val="20"/>
                <w:szCs w:val="20"/>
              </w:rPr>
              <w:t xml:space="preserve"> </w:t>
            </w:r>
          </w:p>
          <w:p w14:paraId="61C0FC36" w14:textId="68FDE291" w:rsidR="00DE5DE6" w:rsidRPr="00B04C44" w:rsidRDefault="00B04C44" w:rsidP="00EC7C92">
            <w:r w:rsidRPr="00B04C44">
              <w:rPr>
                <w:rStyle w:val="A5"/>
                <w:rFonts w:cs="Arial"/>
                <w:i/>
                <w:iCs/>
              </w:rPr>
              <w:t>deliver positive development management, framed by a sound Local Plan that enhances our unique natural and built environment.</w:t>
            </w:r>
          </w:p>
        </w:tc>
      </w:tr>
      <w:tr w:rsidR="00B04C44" w:rsidRPr="00F819F7" w14:paraId="5DADDD06" w14:textId="77777777" w:rsidTr="00E1284A">
        <w:trPr>
          <w:trHeight w:val="2544"/>
        </w:trPr>
        <w:tc>
          <w:tcPr>
            <w:tcW w:w="1356" w:type="dxa"/>
            <w:shd w:val="clear" w:color="auto" w:fill="FFFFFF" w:themeFill="background1"/>
          </w:tcPr>
          <w:p w14:paraId="0F9DBF66" w14:textId="77777777" w:rsidR="00B04C44" w:rsidRPr="00E248F6" w:rsidRDefault="00B04C44" w:rsidP="00EC7C92">
            <w:pPr>
              <w:pStyle w:val="TableParagraph"/>
            </w:pPr>
          </w:p>
          <w:p w14:paraId="31C46899" w14:textId="77777777" w:rsidR="00B04C44" w:rsidRPr="00E248F6" w:rsidRDefault="00B04C44" w:rsidP="00EC7C92">
            <w:pPr>
              <w:pStyle w:val="TableParagraph"/>
            </w:pPr>
          </w:p>
          <w:p w14:paraId="5B1BD073" w14:textId="70EC1191" w:rsidR="00B04C44" w:rsidRPr="00E248F6" w:rsidRDefault="00E1284A" w:rsidP="00E1284A">
            <w:pPr>
              <w:pStyle w:val="TableParagraph"/>
            </w:pPr>
            <w:bookmarkStart w:id="54" w:name="Financial_Management_Code"/>
            <w:bookmarkEnd w:id="54"/>
            <w:r>
              <w:t>D</w:t>
            </w:r>
            <w:r w:rsidR="00B04C44">
              <w:t>ata</w:t>
            </w:r>
            <w:r>
              <w:t xml:space="preserve"> </w:t>
            </w:r>
            <w:r w:rsidR="00B04C44">
              <w:t>Transparency</w:t>
            </w:r>
          </w:p>
        </w:tc>
        <w:tc>
          <w:tcPr>
            <w:tcW w:w="6158" w:type="dxa"/>
            <w:shd w:val="clear" w:color="auto" w:fill="FFFFFF" w:themeFill="background1"/>
          </w:tcPr>
          <w:p w14:paraId="64D33CB1" w14:textId="77777777" w:rsidR="00E1284A" w:rsidRDefault="00B04C44" w:rsidP="00EC7C92">
            <w:bookmarkStart w:id="55" w:name="CIPFA’s_Financial_Management_Code_states"/>
            <w:bookmarkEnd w:id="55"/>
            <w:r w:rsidRPr="00B04C44">
              <w:t>To test the authority’s compliance with the Local Government Transparency Code 2015, an officer-led</w:t>
            </w:r>
            <w:r>
              <w:t xml:space="preserve"> </w:t>
            </w:r>
            <w:r w:rsidRPr="00B04C44">
              <w:t xml:space="preserve">review was undertaken in 2024-25. </w:t>
            </w:r>
          </w:p>
          <w:p w14:paraId="5518C576" w14:textId="7FF7E9DA" w:rsidR="00B04C44" w:rsidRPr="00E248F6" w:rsidRDefault="00B04C44" w:rsidP="00EC7C92">
            <w:r w:rsidRPr="00B04C44">
              <w:t>With the ambition of full code compliance, the delivery of a</w:t>
            </w:r>
            <w:r>
              <w:t xml:space="preserve"> </w:t>
            </w:r>
            <w:r w:rsidRPr="00B04C44">
              <w:t>dedicated Transparency Code Action Plan to incorporate all required tasks, supported by an annual</w:t>
            </w:r>
            <w:r>
              <w:t xml:space="preserve"> </w:t>
            </w:r>
            <w:r w:rsidRPr="00B04C44">
              <w:t>screening regime, will therefore form an AGS action in 2025-26.</w:t>
            </w:r>
          </w:p>
        </w:tc>
        <w:tc>
          <w:tcPr>
            <w:tcW w:w="3118" w:type="dxa"/>
            <w:shd w:val="clear" w:color="auto" w:fill="FFFFFF" w:themeFill="background1"/>
            <w:vAlign w:val="center"/>
          </w:tcPr>
          <w:p w14:paraId="3DD91458" w14:textId="77777777" w:rsidR="00B04C44" w:rsidRPr="002C0E78" w:rsidRDefault="00B04C44" w:rsidP="00EC7C92">
            <w:bookmarkStart w:id="56" w:name="Sound_financial_management:_deliver_an_e"/>
            <w:bookmarkEnd w:id="56"/>
            <w:r w:rsidRPr="002C0E78">
              <w:t>#onecouncil</w:t>
            </w:r>
          </w:p>
          <w:p w14:paraId="4BEE5992" w14:textId="77777777" w:rsidR="00B04C44" w:rsidRDefault="00B04C44" w:rsidP="00EC7C92">
            <w:pPr>
              <w:rPr>
                <w:rStyle w:val="A5"/>
                <w:rFonts w:cs="Arial"/>
                <w:b/>
              </w:rPr>
            </w:pPr>
            <w:r w:rsidRPr="002C0E78">
              <w:t xml:space="preserve">Corporate </w:t>
            </w:r>
            <w:r w:rsidRPr="002C0E78">
              <w:rPr>
                <w:bCs/>
              </w:rPr>
              <w:t>compliance</w:t>
            </w:r>
            <w:r w:rsidRPr="002C0E78">
              <w:rPr>
                <w:rStyle w:val="A5"/>
                <w:rFonts w:cs="Arial"/>
                <w:b/>
              </w:rPr>
              <w:t xml:space="preserve">: </w:t>
            </w:r>
          </w:p>
          <w:p w14:paraId="0502F641" w14:textId="26B0D50E" w:rsidR="00B04C44" w:rsidRPr="00B04C44" w:rsidRDefault="00B04C44" w:rsidP="00EC7C92">
            <w:pPr>
              <w:rPr>
                <w:u w:val="single"/>
              </w:rPr>
            </w:pPr>
            <w:r w:rsidRPr="002C0E78">
              <w:rPr>
                <w:rStyle w:val="A5"/>
                <w:rFonts w:cs="Arial"/>
                <w:i/>
                <w:iCs/>
              </w:rPr>
              <w:t xml:space="preserve">a responsible organisation, ensuring all constitutional, policy and legislative demands are met, and pro-active </w:t>
            </w:r>
            <w:r w:rsidRPr="002C0E78">
              <w:t>risk management practices adopted.</w:t>
            </w:r>
          </w:p>
        </w:tc>
      </w:tr>
      <w:tr w:rsidR="00B04C44" w:rsidRPr="00F819F7" w14:paraId="1CCAFF59" w14:textId="77777777" w:rsidTr="00E1284A">
        <w:trPr>
          <w:trHeight w:val="3275"/>
        </w:trPr>
        <w:tc>
          <w:tcPr>
            <w:tcW w:w="1356" w:type="dxa"/>
            <w:shd w:val="clear" w:color="auto" w:fill="FFFFFF" w:themeFill="background1"/>
            <w:vAlign w:val="center"/>
          </w:tcPr>
          <w:p w14:paraId="2483E4A8" w14:textId="77777777" w:rsidR="00B04C44" w:rsidRPr="00E248F6" w:rsidRDefault="00B04C44" w:rsidP="00EC7C92">
            <w:pPr>
              <w:pStyle w:val="TableParagraph"/>
            </w:pPr>
          </w:p>
          <w:p w14:paraId="7F97659D" w14:textId="18A895A3" w:rsidR="00B04C44" w:rsidRPr="00E248F6" w:rsidRDefault="00B04C44" w:rsidP="00EC7C92">
            <w:pPr>
              <w:pStyle w:val="TableParagraph"/>
            </w:pPr>
            <w:r>
              <w:t>Equality Policy</w:t>
            </w:r>
          </w:p>
          <w:p w14:paraId="314D33E9" w14:textId="77777777" w:rsidR="00B04C44" w:rsidRPr="00E248F6" w:rsidRDefault="00B04C44" w:rsidP="00EC7C92">
            <w:pPr>
              <w:pStyle w:val="TableParagraph"/>
            </w:pPr>
          </w:p>
          <w:p w14:paraId="2F0320A0" w14:textId="6E2234B7" w:rsidR="00B04C44" w:rsidRPr="00E248F6" w:rsidRDefault="00B04C44" w:rsidP="00EC7C92">
            <w:pPr>
              <w:pStyle w:val="TableParagraph"/>
            </w:pPr>
          </w:p>
        </w:tc>
        <w:tc>
          <w:tcPr>
            <w:tcW w:w="6158" w:type="dxa"/>
            <w:shd w:val="clear" w:color="auto" w:fill="FFFFFF" w:themeFill="background1"/>
          </w:tcPr>
          <w:p w14:paraId="64114FF1" w14:textId="798EB521" w:rsidR="00B04C44" w:rsidRDefault="00B04C44" w:rsidP="00EC7C92">
            <w:r w:rsidRPr="00B04C44">
              <w:t>As a responsible authority serving a diverse resident population, GBC places equality as a key</w:t>
            </w:r>
            <w:r>
              <w:t xml:space="preserve"> </w:t>
            </w:r>
            <w:r w:rsidRPr="00B04C44">
              <w:t>organisational value. The council’s Equality Policy forms part of the authority’s constituted policy</w:t>
            </w:r>
            <w:r>
              <w:t xml:space="preserve"> </w:t>
            </w:r>
            <w:r w:rsidRPr="00B04C44">
              <w:t>framework, outlining both a commitment to equality in all forms and compliance with the statutory</w:t>
            </w:r>
            <w:r>
              <w:t xml:space="preserve"> </w:t>
            </w:r>
            <w:r w:rsidRPr="00B04C44">
              <w:t>requirement for a suite of equality objectives that over the course of four years promote the agenda</w:t>
            </w:r>
            <w:r>
              <w:t xml:space="preserve"> </w:t>
            </w:r>
            <w:r w:rsidRPr="00B04C44">
              <w:t>within the authority and the community more broadly.</w:t>
            </w:r>
          </w:p>
          <w:p w14:paraId="26076069" w14:textId="18851656" w:rsidR="00B04C44" w:rsidRPr="00B04C44" w:rsidRDefault="00B04C44" w:rsidP="00EC7C92">
            <w:r w:rsidRPr="00B04C44">
              <w:t>To therefore demonstrate our continued commitment, the council will publish a refreshed policy and</w:t>
            </w:r>
            <w:r>
              <w:t xml:space="preserve"> </w:t>
            </w:r>
            <w:r w:rsidRPr="00B04C44">
              <w:t>associated suite of objectives for the four-year 2025-29 period that enable us to work towards a</w:t>
            </w:r>
            <w:r>
              <w:t xml:space="preserve"> </w:t>
            </w:r>
            <w:r w:rsidRPr="00B04C44">
              <w:t>cohesive and inclusive borough.</w:t>
            </w:r>
          </w:p>
        </w:tc>
        <w:tc>
          <w:tcPr>
            <w:tcW w:w="3118" w:type="dxa"/>
            <w:shd w:val="clear" w:color="auto" w:fill="FFFFFF" w:themeFill="background1"/>
            <w:vAlign w:val="center"/>
          </w:tcPr>
          <w:p w14:paraId="38BC349D" w14:textId="77777777" w:rsidR="00B04C44" w:rsidRPr="002C0E78" w:rsidRDefault="00B04C44" w:rsidP="00EC7C92">
            <w:r w:rsidRPr="002C0E78">
              <w:t>#onecouncil</w:t>
            </w:r>
          </w:p>
          <w:p w14:paraId="273B4420" w14:textId="77777777" w:rsidR="00B04C44" w:rsidRDefault="00B04C44" w:rsidP="00EC7C92">
            <w:pPr>
              <w:rPr>
                <w:rStyle w:val="A5"/>
                <w:rFonts w:cs="Arial"/>
                <w:b/>
              </w:rPr>
            </w:pPr>
            <w:r w:rsidRPr="002C0E78">
              <w:t xml:space="preserve">Corporate </w:t>
            </w:r>
            <w:r w:rsidRPr="002C0E78">
              <w:rPr>
                <w:bCs/>
              </w:rPr>
              <w:t>compliance</w:t>
            </w:r>
            <w:r w:rsidRPr="002C0E78">
              <w:rPr>
                <w:rStyle w:val="A5"/>
                <w:rFonts w:cs="Arial"/>
                <w:b/>
              </w:rPr>
              <w:t xml:space="preserve">: </w:t>
            </w:r>
          </w:p>
          <w:p w14:paraId="27B15858" w14:textId="77777777" w:rsidR="00B04C44" w:rsidRPr="002C0E78" w:rsidRDefault="00B04C44" w:rsidP="00EC7C92">
            <w:pPr>
              <w:rPr>
                <w:u w:val="single"/>
              </w:rPr>
            </w:pPr>
            <w:r w:rsidRPr="002C0E78">
              <w:rPr>
                <w:rStyle w:val="A5"/>
                <w:rFonts w:cs="Arial"/>
                <w:i/>
                <w:iCs/>
              </w:rPr>
              <w:t xml:space="preserve">a responsible organisation, ensuring all constitutional, policy and legislative demands are met, and pro-active </w:t>
            </w:r>
            <w:r w:rsidRPr="002C0E78">
              <w:t>risk management practices adopted.</w:t>
            </w:r>
          </w:p>
          <w:p w14:paraId="040A5E29" w14:textId="44967093" w:rsidR="00B04C44" w:rsidRPr="00715BD7" w:rsidRDefault="00B04C44" w:rsidP="00EC7C92">
            <w:pPr>
              <w:rPr>
                <w:highlight w:val="yellow"/>
              </w:rPr>
            </w:pPr>
          </w:p>
        </w:tc>
      </w:tr>
    </w:tbl>
    <w:p w14:paraId="21C89A7D" w14:textId="77777777" w:rsidR="00902F56" w:rsidRPr="00F819F7" w:rsidRDefault="00902F56" w:rsidP="00EC7C92">
      <w:pPr>
        <w:rPr>
          <w:highlight w:val="yellow"/>
        </w:rPr>
        <w:sectPr w:rsidR="00902F56" w:rsidRPr="00F819F7" w:rsidSect="00EC7C92">
          <w:headerReference w:type="default" r:id="rId37"/>
          <w:pgSz w:w="11910" w:h="16840"/>
          <w:pgMar w:top="1440" w:right="1080" w:bottom="1440" w:left="1080" w:header="720" w:footer="720" w:gutter="0"/>
          <w:cols w:space="720"/>
          <w:docGrid w:linePitch="299"/>
        </w:sectPr>
      </w:pPr>
    </w:p>
    <w:p w14:paraId="29650092" w14:textId="00D89C9A" w:rsidR="00037609" w:rsidRDefault="00037609" w:rsidP="00EC7C92"/>
    <w:p w14:paraId="37B1C05E" w14:textId="77777777" w:rsidR="006C00F4" w:rsidRPr="006C00F4" w:rsidRDefault="006C00F4" w:rsidP="00EC7C92">
      <w:r w:rsidRPr="006C00F4">
        <w:t>Certification by Chair of the Finance &amp; Audit Committee</w:t>
      </w:r>
    </w:p>
    <w:p w14:paraId="2955AE5C" w14:textId="5813A4D0" w:rsidR="006C00F4" w:rsidRDefault="006C00F4" w:rsidP="00EC7C92">
      <w:bookmarkStart w:id="57" w:name="_Hlk169535734"/>
      <w:r w:rsidRPr="006C00F4">
        <w:t>I confirm that the 202</w:t>
      </w:r>
      <w:r w:rsidR="00B04C44">
        <w:t>4</w:t>
      </w:r>
      <w:r w:rsidRPr="006C00F4">
        <w:t>-2</w:t>
      </w:r>
      <w:r w:rsidR="00B04C44">
        <w:t>5</w:t>
      </w:r>
      <w:r w:rsidRPr="006C00F4">
        <w:t xml:space="preserve"> Annual Governance Statement has been considered and approved by Gravesham Borough Council at the meeting of the Finance &amp; Audit Committee on 1</w:t>
      </w:r>
      <w:r w:rsidR="00B04C44">
        <w:t>5</w:t>
      </w:r>
      <w:r w:rsidRPr="006C00F4">
        <w:t xml:space="preserve"> July 202</w:t>
      </w:r>
      <w:r w:rsidR="00B04C44">
        <w:t>5</w:t>
      </w:r>
      <w:r w:rsidRPr="006C00F4">
        <w:t>.</w:t>
      </w:r>
    </w:p>
    <w:p w14:paraId="1ACC8D6D" w14:textId="188B8940" w:rsidR="006C00F4" w:rsidRDefault="006C00F4" w:rsidP="00EC7C92">
      <w:r w:rsidRPr="006C00F4">
        <w:t>Councillor G</w:t>
      </w:r>
      <w:r w:rsidR="00B360AA">
        <w:t>avin Larkins</w:t>
      </w:r>
      <w:r>
        <w:t xml:space="preserve"> – </w:t>
      </w:r>
      <w:r w:rsidR="00C10B17">
        <w:t>2</w:t>
      </w:r>
      <w:r w:rsidR="00B04C44">
        <w:t>6</w:t>
      </w:r>
      <w:r>
        <w:t xml:space="preserve"> </w:t>
      </w:r>
      <w:r w:rsidR="00C10B17">
        <w:t>February</w:t>
      </w:r>
      <w:r>
        <w:t xml:space="preserve"> 202</w:t>
      </w:r>
      <w:r w:rsidR="00C10B17">
        <w:t>6</w:t>
      </w:r>
    </w:p>
    <w:bookmarkEnd w:id="57"/>
    <w:p w14:paraId="7C15BCFF" w14:textId="6C619E30" w:rsidR="006C00F4" w:rsidRDefault="006C00F4" w:rsidP="00EC7C92">
      <w:r w:rsidRPr="006C00F4">
        <w:t>Endorsement by the Leader of the Executive and the Chief Executive</w:t>
      </w:r>
    </w:p>
    <w:p w14:paraId="47F88A9F" w14:textId="77777777" w:rsidR="00C10B17" w:rsidRDefault="006C00F4" w:rsidP="00EC7C92">
      <w:r>
        <w:t xml:space="preserve">Leader of the Executive </w:t>
      </w:r>
      <w:r w:rsidRPr="006C00F4">
        <w:t xml:space="preserve">Councillor </w:t>
      </w:r>
      <w:r>
        <w:t xml:space="preserve">John Burden – </w:t>
      </w:r>
      <w:r w:rsidR="00C10B17">
        <w:t>26 February 2026</w:t>
      </w:r>
    </w:p>
    <w:p w14:paraId="077671FB" w14:textId="77777777" w:rsidR="00C10B17" w:rsidRDefault="006C00F4" w:rsidP="00EC7C92">
      <w:r>
        <w:t xml:space="preserve">Chief Executive Stuart Bobby – </w:t>
      </w:r>
      <w:r w:rsidR="00C10B17">
        <w:t>26 February 2026</w:t>
      </w:r>
    </w:p>
    <w:p w14:paraId="30E4B82D" w14:textId="65FF6287" w:rsidR="006C00F4" w:rsidRPr="006C00F4" w:rsidRDefault="006C00F4" w:rsidP="00EC7C92"/>
    <w:sectPr w:rsidR="006C00F4" w:rsidRPr="006C00F4" w:rsidSect="00EC7C92">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BD6A" w14:textId="77777777" w:rsidR="002A0C97" w:rsidRDefault="002A0C97" w:rsidP="00EC7C92">
      <w:r>
        <w:separator/>
      </w:r>
    </w:p>
  </w:endnote>
  <w:endnote w:type="continuationSeparator" w:id="0">
    <w:p w14:paraId="17467364" w14:textId="77777777" w:rsidR="002A0C97" w:rsidRDefault="002A0C97" w:rsidP="00EC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7533" w14:textId="77777777" w:rsidR="002A0C97" w:rsidRDefault="002A0C97" w:rsidP="00EC7C92">
      <w:r>
        <w:separator/>
      </w:r>
    </w:p>
  </w:footnote>
  <w:footnote w:type="continuationSeparator" w:id="0">
    <w:p w14:paraId="0701FAAD" w14:textId="77777777" w:rsidR="002A0C97" w:rsidRDefault="002A0C97" w:rsidP="00EC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D5DD" w14:textId="0DE5B2F7" w:rsidR="00630B92" w:rsidRDefault="00630B92" w:rsidP="00EC7C92">
    <w:pPr>
      <w:pStyle w:val="Header"/>
    </w:pPr>
    <w:r w:rsidRPr="006F336A">
      <w:rPr>
        <w:noProof/>
      </w:rPr>
      <w:drawing>
        <wp:anchor distT="0" distB="0" distL="114300" distR="114300" simplePos="0" relativeHeight="251659776" behindDoc="0" locked="0" layoutInCell="1" allowOverlap="1" wp14:anchorId="400F6EFE" wp14:editId="6DA7F3CA">
          <wp:simplePos x="0" y="0"/>
          <wp:positionH relativeFrom="column">
            <wp:posOffset>1905</wp:posOffset>
          </wp:positionH>
          <wp:positionV relativeFrom="paragraph">
            <wp:posOffset>-257175</wp:posOffset>
          </wp:positionV>
          <wp:extent cx="2383155" cy="513715"/>
          <wp:effectExtent l="0" t="0" r="0" b="0"/>
          <wp:wrapTopAndBottom/>
          <wp:docPr id="1437628797" name="Picture 14376287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155" cy="513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F05"/>
    <w:multiLevelType w:val="hybridMultilevel"/>
    <w:tmpl w:val="C01EC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826936"/>
    <w:multiLevelType w:val="hybridMultilevel"/>
    <w:tmpl w:val="F3F8FBAE"/>
    <w:lvl w:ilvl="0" w:tplc="2B82A3B6">
      <w:numFmt w:val="bullet"/>
      <w:lvlText w:val=""/>
      <w:lvlJc w:val="left"/>
      <w:pPr>
        <w:ind w:left="720" w:hanging="360"/>
      </w:pPr>
      <w:rPr>
        <w:rFonts w:ascii="Wingdings" w:eastAsia="Wingdings" w:hAnsi="Wingdings" w:cs="Wingdings" w:hint="default"/>
        <w:b w:val="0"/>
        <w:bCs w:val="0"/>
        <w:i w:val="0"/>
        <w:iCs w:val="0"/>
        <w:w w:val="99"/>
        <w:sz w:val="20"/>
        <w:szCs w:val="2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A0A1E"/>
    <w:multiLevelType w:val="hybridMultilevel"/>
    <w:tmpl w:val="A9FA62A2"/>
    <w:lvl w:ilvl="0" w:tplc="707E11FA">
      <w:start w:val="21"/>
      <w:numFmt w:val="decimal"/>
      <w:lvlText w:val="%1."/>
      <w:lvlJc w:val="left"/>
      <w:pPr>
        <w:ind w:left="120" w:hanging="367"/>
      </w:pPr>
      <w:rPr>
        <w:rFonts w:ascii="Arial" w:eastAsia="Arial" w:hAnsi="Arial" w:cs="Arial" w:hint="default"/>
        <w:b w:val="0"/>
        <w:bCs w:val="0"/>
        <w:i w:val="0"/>
        <w:iCs w:val="0"/>
        <w:spacing w:val="-1"/>
        <w:w w:val="100"/>
        <w:sz w:val="22"/>
        <w:szCs w:val="22"/>
        <w:lang w:val="en-GB" w:eastAsia="en-US" w:bidi="ar-SA"/>
      </w:rPr>
    </w:lvl>
    <w:lvl w:ilvl="1" w:tplc="2B82A3B6">
      <w:numFmt w:val="bullet"/>
      <w:lvlText w:val=""/>
      <w:lvlJc w:val="left"/>
      <w:pPr>
        <w:ind w:left="840" w:hanging="360"/>
      </w:pPr>
      <w:rPr>
        <w:rFonts w:ascii="Wingdings" w:eastAsia="Wingdings" w:hAnsi="Wingdings" w:cs="Wingdings" w:hint="default"/>
        <w:b w:val="0"/>
        <w:bCs w:val="0"/>
        <w:i w:val="0"/>
        <w:iCs w:val="0"/>
        <w:w w:val="99"/>
        <w:sz w:val="20"/>
        <w:szCs w:val="20"/>
        <w:lang w:val="en-GB" w:eastAsia="en-US" w:bidi="ar-SA"/>
      </w:rPr>
    </w:lvl>
    <w:lvl w:ilvl="2" w:tplc="E676C286">
      <w:numFmt w:val="bullet"/>
      <w:lvlText w:val="•"/>
      <w:lvlJc w:val="left"/>
      <w:pPr>
        <w:ind w:left="1774" w:hanging="360"/>
      </w:pPr>
      <w:rPr>
        <w:rFonts w:hint="default"/>
        <w:lang w:val="en-GB" w:eastAsia="en-US" w:bidi="ar-SA"/>
      </w:rPr>
    </w:lvl>
    <w:lvl w:ilvl="3" w:tplc="2634F444">
      <w:numFmt w:val="bullet"/>
      <w:lvlText w:val="•"/>
      <w:lvlJc w:val="left"/>
      <w:pPr>
        <w:ind w:left="2708" w:hanging="360"/>
      </w:pPr>
      <w:rPr>
        <w:rFonts w:hint="default"/>
        <w:lang w:val="en-GB" w:eastAsia="en-US" w:bidi="ar-SA"/>
      </w:rPr>
    </w:lvl>
    <w:lvl w:ilvl="4" w:tplc="868630DE">
      <w:numFmt w:val="bullet"/>
      <w:lvlText w:val="•"/>
      <w:lvlJc w:val="left"/>
      <w:pPr>
        <w:ind w:left="3642" w:hanging="360"/>
      </w:pPr>
      <w:rPr>
        <w:rFonts w:hint="default"/>
        <w:lang w:val="en-GB" w:eastAsia="en-US" w:bidi="ar-SA"/>
      </w:rPr>
    </w:lvl>
    <w:lvl w:ilvl="5" w:tplc="FD206006">
      <w:numFmt w:val="bullet"/>
      <w:lvlText w:val="•"/>
      <w:lvlJc w:val="left"/>
      <w:pPr>
        <w:ind w:left="4576" w:hanging="360"/>
      </w:pPr>
      <w:rPr>
        <w:rFonts w:hint="default"/>
        <w:lang w:val="en-GB" w:eastAsia="en-US" w:bidi="ar-SA"/>
      </w:rPr>
    </w:lvl>
    <w:lvl w:ilvl="6" w:tplc="60A2BDC2">
      <w:numFmt w:val="bullet"/>
      <w:lvlText w:val="•"/>
      <w:lvlJc w:val="left"/>
      <w:pPr>
        <w:ind w:left="5510" w:hanging="360"/>
      </w:pPr>
      <w:rPr>
        <w:rFonts w:hint="default"/>
        <w:lang w:val="en-GB" w:eastAsia="en-US" w:bidi="ar-SA"/>
      </w:rPr>
    </w:lvl>
    <w:lvl w:ilvl="7" w:tplc="66962226">
      <w:numFmt w:val="bullet"/>
      <w:lvlText w:val="•"/>
      <w:lvlJc w:val="left"/>
      <w:pPr>
        <w:ind w:left="6444" w:hanging="360"/>
      </w:pPr>
      <w:rPr>
        <w:rFonts w:hint="default"/>
        <w:lang w:val="en-GB" w:eastAsia="en-US" w:bidi="ar-SA"/>
      </w:rPr>
    </w:lvl>
    <w:lvl w:ilvl="8" w:tplc="5FF0D31C">
      <w:numFmt w:val="bullet"/>
      <w:lvlText w:val="•"/>
      <w:lvlJc w:val="left"/>
      <w:pPr>
        <w:ind w:left="7378" w:hanging="360"/>
      </w:pPr>
      <w:rPr>
        <w:rFonts w:hint="default"/>
        <w:lang w:val="en-GB" w:eastAsia="en-US" w:bidi="ar-SA"/>
      </w:rPr>
    </w:lvl>
  </w:abstractNum>
  <w:abstractNum w:abstractNumId="3" w15:restartNumberingAfterBreak="0">
    <w:nsid w:val="29F00603"/>
    <w:multiLevelType w:val="hybridMultilevel"/>
    <w:tmpl w:val="E71A7F40"/>
    <w:lvl w:ilvl="0" w:tplc="574C5E7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C1D39"/>
    <w:multiLevelType w:val="hybridMultilevel"/>
    <w:tmpl w:val="AA9460A0"/>
    <w:lvl w:ilvl="0" w:tplc="2B82A3B6">
      <w:numFmt w:val="bullet"/>
      <w:lvlText w:val=""/>
      <w:lvlJc w:val="left"/>
      <w:pPr>
        <w:ind w:left="1200" w:hanging="360"/>
      </w:pPr>
      <w:rPr>
        <w:rFonts w:ascii="Wingdings" w:eastAsia="Wingdings" w:hAnsi="Wingdings" w:cs="Wingdings" w:hint="default"/>
        <w:b w:val="0"/>
        <w:bCs w:val="0"/>
        <w:i w:val="0"/>
        <w:iCs w:val="0"/>
        <w:w w:val="99"/>
        <w:sz w:val="20"/>
        <w:szCs w:val="20"/>
        <w:lang w:val="en-GB" w:eastAsia="en-US" w:bidi="ar-SA"/>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2D246F0F"/>
    <w:multiLevelType w:val="hybridMultilevel"/>
    <w:tmpl w:val="E7E83F8E"/>
    <w:lvl w:ilvl="0" w:tplc="66FE8872">
      <w:start w:val="1"/>
      <w:numFmt w:val="decimal"/>
      <w:lvlText w:val="%1."/>
      <w:lvlJc w:val="left"/>
      <w:pPr>
        <w:ind w:left="480" w:hanging="360"/>
      </w:pPr>
      <w:rPr>
        <w:rFonts w:hint="default"/>
        <w:b w:val="0"/>
        <w:sz w:val="22"/>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34BF4047"/>
    <w:multiLevelType w:val="hybridMultilevel"/>
    <w:tmpl w:val="7714BE5A"/>
    <w:lvl w:ilvl="0" w:tplc="08090001">
      <w:start w:val="1"/>
      <w:numFmt w:val="bullet"/>
      <w:lvlText w:val=""/>
      <w:lvlJc w:val="left"/>
      <w:pPr>
        <w:ind w:left="843" w:hanging="361"/>
      </w:pPr>
      <w:rPr>
        <w:rFonts w:ascii="Symbol" w:hAnsi="Symbol" w:hint="default"/>
        <w:b w:val="0"/>
        <w:bCs w:val="0"/>
        <w:i w:val="0"/>
        <w:iCs w:val="0"/>
        <w:w w:val="99"/>
        <w:sz w:val="20"/>
        <w:szCs w:val="20"/>
        <w:lang w:val="en-GB" w:eastAsia="en-US" w:bidi="ar-SA"/>
      </w:rPr>
    </w:lvl>
    <w:lvl w:ilvl="1" w:tplc="A9384EB2">
      <w:numFmt w:val="bullet"/>
      <w:lvlText w:val="•"/>
      <w:lvlJc w:val="left"/>
      <w:pPr>
        <w:ind w:left="1683" w:hanging="361"/>
      </w:pPr>
      <w:rPr>
        <w:rFonts w:hint="default"/>
        <w:lang w:val="en-GB" w:eastAsia="en-US" w:bidi="ar-SA"/>
      </w:rPr>
    </w:lvl>
    <w:lvl w:ilvl="2" w:tplc="827A151C">
      <w:numFmt w:val="bullet"/>
      <w:lvlText w:val="•"/>
      <w:lvlJc w:val="left"/>
      <w:pPr>
        <w:ind w:left="2524" w:hanging="361"/>
      </w:pPr>
      <w:rPr>
        <w:rFonts w:hint="default"/>
        <w:lang w:val="en-GB" w:eastAsia="en-US" w:bidi="ar-SA"/>
      </w:rPr>
    </w:lvl>
    <w:lvl w:ilvl="3" w:tplc="13C84900">
      <w:numFmt w:val="bullet"/>
      <w:lvlText w:val="•"/>
      <w:lvlJc w:val="left"/>
      <w:pPr>
        <w:ind w:left="3364" w:hanging="361"/>
      </w:pPr>
      <w:rPr>
        <w:rFonts w:hint="default"/>
        <w:lang w:val="en-GB" w:eastAsia="en-US" w:bidi="ar-SA"/>
      </w:rPr>
    </w:lvl>
    <w:lvl w:ilvl="4" w:tplc="112284FC">
      <w:numFmt w:val="bullet"/>
      <w:lvlText w:val="•"/>
      <w:lvlJc w:val="left"/>
      <w:pPr>
        <w:ind w:left="4205" w:hanging="361"/>
      </w:pPr>
      <w:rPr>
        <w:rFonts w:hint="default"/>
        <w:lang w:val="en-GB" w:eastAsia="en-US" w:bidi="ar-SA"/>
      </w:rPr>
    </w:lvl>
    <w:lvl w:ilvl="5" w:tplc="1CAC6914">
      <w:numFmt w:val="bullet"/>
      <w:lvlText w:val="•"/>
      <w:lvlJc w:val="left"/>
      <w:pPr>
        <w:ind w:left="5046" w:hanging="361"/>
      </w:pPr>
      <w:rPr>
        <w:rFonts w:hint="default"/>
        <w:lang w:val="en-GB" w:eastAsia="en-US" w:bidi="ar-SA"/>
      </w:rPr>
    </w:lvl>
    <w:lvl w:ilvl="6" w:tplc="A8B4AB46">
      <w:numFmt w:val="bullet"/>
      <w:lvlText w:val="•"/>
      <w:lvlJc w:val="left"/>
      <w:pPr>
        <w:ind w:left="5886" w:hanging="361"/>
      </w:pPr>
      <w:rPr>
        <w:rFonts w:hint="default"/>
        <w:lang w:val="en-GB" w:eastAsia="en-US" w:bidi="ar-SA"/>
      </w:rPr>
    </w:lvl>
    <w:lvl w:ilvl="7" w:tplc="121293D8">
      <w:numFmt w:val="bullet"/>
      <w:lvlText w:val="•"/>
      <w:lvlJc w:val="left"/>
      <w:pPr>
        <w:ind w:left="6727" w:hanging="361"/>
      </w:pPr>
      <w:rPr>
        <w:rFonts w:hint="default"/>
        <w:lang w:val="en-GB" w:eastAsia="en-US" w:bidi="ar-SA"/>
      </w:rPr>
    </w:lvl>
    <w:lvl w:ilvl="8" w:tplc="6C6A9560">
      <w:numFmt w:val="bullet"/>
      <w:lvlText w:val="•"/>
      <w:lvlJc w:val="left"/>
      <w:pPr>
        <w:ind w:left="7568" w:hanging="361"/>
      </w:pPr>
      <w:rPr>
        <w:rFonts w:hint="default"/>
        <w:lang w:val="en-GB" w:eastAsia="en-US" w:bidi="ar-SA"/>
      </w:rPr>
    </w:lvl>
  </w:abstractNum>
  <w:abstractNum w:abstractNumId="7" w15:restartNumberingAfterBreak="0">
    <w:nsid w:val="364C3BB7"/>
    <w:multiLevelType w:val="hybridMultilevel"/>
    <w:tmpl w:val="1324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216A9"/>
    <w:multiLevelType w:val="hybridMultilevel"/>
    <w:tmpl w:val="F828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D4BDA"/>
    <w:multiLevelType w:val="hybridMultilevel"/>
    <w:tmpl w:val="7EA63FA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48DF4B1D"/>
    <w:multiLevelType w:val="multilevel"/>
    <w:tmpl w:val="97F0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C79B8"/>
    <w:multiLevelType w:val="hybridMultilevel"/>
    <w:tmpl w:val="97481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572B76"/>
    <w:multiLevelType w:val="hybridMultilevel"/>
    <w:tmpl w:val="1362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D4146"/>
    <w:multiLevelType w:val="hybridMultilevel"/>
    <w:tmpl w:val="C9C4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265156"/>
    <w:multiLevelType w:val="hybridMultilevel"/>
    <w:tmpl w:val="2158B514"/>
    <w:lvl w:ilvl="0" w:tplc="0A84E0C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B77ED"/>
    <w:multiLevelType w:val="hybridMultilevel"/>
    <w:tmpl w:val="12802AE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6" w15:restartNumberingAfterBreak="0">
    <w:nsid w:val="606A0C37"/>
    <w:multiLevelType w:val="hybridMultilevel"/>
    <w:tmpl w:val="B3E4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94387"/>
    <w:multiLevelType w:val="hybridMultilevel"/>
    <w:tmpl w:val="669A9F94"/>
    <w:lvl w:ilvl="0" w:tplc="08090001">
      <w:start w:val="1"/>
      <w:numFmt w:val="bullet"/>
      <w:lvlText w:val=""/>
      <w:lvlJc w:val="left"/>
      <w:pPr>
        <w:ind w:left="3790" w:hanging="361"/>
      </w:pPr>
      <w:rPr>
        <w:rFonts w:ascii="Symbol" w:hAnsi="Symbol" w:hint="default"/>
        <w:lang w:val="en-GB" w:eastAsia="en-US" w:bidi="ar-SA"/>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CFB391A"/>
    <w:multiLevelType w:val="hybridMultilevel"/>
    <w:tmpl w:val="0E62358A"/>
    <w:lvl w:ilvl="0" w:tplc="63D8D6FC">
      <w:start w:val="1"/>
      <w:numFmt w:val="decimal"/>
      <w:lvlText w:val="%1."/>
      <w:lvlJc w:val="left"/>
      <w:pPr>
        <w:ind w:left="480" w:hanging="360"/>
      </w:pPr>
      <w:rPr>
        <w:rFonts w:hint="default"/>
        <w:b w:val="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9" w15:restartNumberingAfterBreak="0">
    <w:nsid w:val="6DE70A68"/>
    <w:multiLevelType w:val="hybridMultilevel"/>
    <w:tmpl w:val="8B62AC66"/>
    <w:lvl w:ilvl="0" w:tplc="4AD0729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DA4678"/>
    <w:multiLevelType w:val="hybridMultilevel"/>
    <w:tmpl w:val="7D9EA49A"/>
    <w:lvl w:ilvl="0" w:tplc="2B82A3B6">
      <w:numFmt w:val="bullet"/>
      <w:lvlText w:val=""/>
      <w:lvlJc w:val="left"/>
      <w:pPr>
        <w:ind w:left="720" w:hanging="360"/>
      </w:pPr>
      <w:rPr>
        <w:rFonts w:ascii="Wingdings" w:eastAsia="Wingdings" w:hAnsi="Wingdings" w:cs="Wingdings" w:hint="default"/>
        <w:b w:val="0"/>
        <w:bCs w:val="0"/>
        <w:i w:val="0"/>
        <w:iCs w:val="0"/>
        <w:w w:val="99"/>
        <w:sz w:val="20"/>
        <w:szCs w:val="2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3D799C"/>
    <w:multiLevelType w:val="hybridMultilevel"/>
    <w:tmpl w:val="EDE4FE54"/>
    <w:lvl w:ilvl="0" w:tplc="01E27534">
      <w:start w:val="22"/>
      <w:numFmt w:val="decimal"/>
      <w:lvlText w:val="%1."/>
      <w:lvlJc w:val="left"/>
      <w:pPr>
        <w:ind w:left="113" w:hanging="360"/>
      </w:pPr>
      <w:rPr>
        <w:rFonts w:hint="default"/>
      </w:rPr>
    </w:lvl>
    <w:lvl w:ilvl="1" w:tplc="08090019" w:tentative="1">
      <w:start w:val="1"/>
      <w:numFmt w:val="lowerLetter"/>
      <w:lvlText w:val="%2."/>
      <w:lvlJc w:val="left"/>
      <w:pPr>
        <w:ind w:left="833" w:hanging="360"/>
      </w:pPr>
    </w:lvl>
    <w:lvl w:ilvl="2" w:tplc="0809001B" w:tentative="1">
      <w:start w:val="1"/>
      <w:numFmt w:val="lowerRoman"/>
      <w:lvlText w:val="%3."/>
      <w:lvlJc w:val="right"/>
      <w:pPr>
        <w:ind w:left="1553" w:hanging="180"/>
      </w:pPr>
    </w:lvl>
    <w:lvl w:ilvl="3" w:tplc="0809000F" w:tentative="1">
      <w:start w:val="1"/>
      <w:numFmt w:val="decimal"/>
      <w:lvlText w:val="%4."/>
      <w:lvlJc w:val="left"/>
      <w:pPr>
        <w:ind w:left="2273" w:hanging="360"/>
      </w:pPr>
    </w:lvl>
    <w:lvl w:ilvl="4" w:tplc="08090019" w:tentative="1">
      <w:start w:val="1"/>
      <w:numFmt w:val="lowerLetter"/>
      <w:lvlText w:val="%5."/>
      <w:lvlJc w:val="left"/>
      <w:pPr>
        <w:ind w:left="2993" w:hanging="360"/>
      </w:pPr>
    </w:lvl>
    <w:lvl w:ilvl="5" w:tplc="0809001B" w:tentative="1">
      <w:start w:val="1"/>
      <w:numFmt w:val="lowerRoman"/>
      <w:lvlText w:val="%6."/>
      <w:lvlJc w:val="right"/>
      <w:pPr>
        <w:ind w:left="3713" w:hanging="180"/>
      </w:pPr>
    </w:lvl>
    <w:lvl w:ilvl="6" w:tplc="0809000F" w:tentative="1">
      <w:start w:val="1"/>
      <w:numFmt w:val="decimal"/>
      <w:lvlText w:val="%7."/>
      <w:lvlJc w:val="left"/>
      <w:pPr>
        <w:ind w:left="4433" w:hanging="360"/>
      </w:pPr>
    </w:lvl>
    <w:lvl w:ilvl="7" w:tplc="08090019" w:tentative="1">
      <w:start w:val="1"/>
      <w:numFmt w:val="lowerLetter"/>
      <w:lvlText w:val="%8."/>
      <w:lvlJc w:val="left"/>
      <w:pPr>
        <w:ind w:left="5153" w:hanging="360"/>
      </w:pPr>
    </w:lvl>
    <w:lvl w:ilvl="8" w:tplc="0809001B" w:tentative="1">
      <w:start w:val="1"/>
      <w:numFmt w:val="lowerRoman"/>
      <w:lvlText w:val="%9."/>
      <w:lvlJc w:val="right"/>
      <w:pPr>
        <w:ind w:left="5873" w:hanging="180"/>
      </w:pPr>
    </w:lvl>
  </w:abstractNum>
  <w:abstractNum w:abstractNumId="22" w15:restartNumberingAfterBreak="0">
    <w:nsid w:val="7B956982"/>
    <w:multiLevelType w:val="hybridMultilevel"/>
    <w:tmpl w:val="FF80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072638">
    <w:abstractNumId w:val="6"/>
  </w:num>
  <w:num w:numId="2" w16cid:durableId="89587875">
    <w:abstractNumId w:val="2"/>
  </w:num>
  <w:num w:numId="3" w16cid:durableId="1019428118">
    <w:abstractNumId w:val="5"/>
  </w:num>
  <w:num w:numId="4" w16cid:durableId="1503743784">
    <w:abstractNumId w:val="21"/>
  </w:num>
  <w:num w:numId="5" w16cid:durableId="676348536">
    <w:abstractNumId w:val="9"/>
  </w:num>
  <w:num w:numId="6" w16cid:durableId="1858880960">
    <w:abstractNumId w:val="4"/>
  </w:num>
  <w:num w:numId="7" w16cid:durableId="135878275">
    <w:abstractNumId w:val="18"/>
  </w:num>
  <w:num w:numId="8" w16cid:durableId="438567995">
    <w:abstractNumId w:val="20"/>
  </w:num>
  <w:num w:numId="9" w16cid:durableId="161552692">
    <w:abstractNumId w:val="1"/>
  </w:num>
  <w:num w:numId="10" w16cid:durableId="446003640">
    <w:abstractNumId w:val="17"/>
  </w:num>
  <w:num w:numId="11" w16cid:durableId="1754279030">
    <w:abstractNumId w:val="16"/>
  </w:num>
  <w:num w:numId="12" w16cid:durableId="579801180">
    <w:abstractNumId w:val="15"/>
  </w:num>
  <w:num w:numId="13" w16cid:durableId="133375302">
    <w:abstractNumId w:val="7"/>
  </w:num>
  <w:num w:numId="14" w16cid:durableId="516239546">
    <w:abstractNumId w:val="0"/>
  </w:num>
  <w:num w:numId="15" w16cid:durableId="1304118259">
    <w:abstractNumId w:val="22"/>
  </w:num>
  <w:num w:numId="16" w16cid:durableId="2113819555">
    <w:abstractNumId w:val="11"/>
  </w:num>
  <w:num w:numId="17" w16cid:durableId="554774165">
    <w:abstractNumId w:val="12"/>
  </w:num>
  <w:num w:numId="18" w16cid:durableId="530266547">
    <w:abstractNumId w:val="13"/>
  </w:num>
  <w:num w:numId="19" w16cid:durableId="1823807541">
    <w:abstractNumId w:val="10"/>
  </w:num>
  <w:num w:numId="20" w16cid:durableId="1154025752">
    <w:abstractNumId w:val="19"/>
  </w:num>
  <w:num w:numId="21" w16cid:durableId="1397826133">
    <w:abstractNumId w:val="3"/>
  </w:num>
  <w:num w:numId="22" w16cid:durableId="1822964672">
    <w:abstractNumId w:val="14"/>
  </w:num>
  <w:num w:numId="23" w16cid:durableId="1894535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56"/>
    <w:rsid w:val="000221CF"/>
    <w:rsid w:val="00037609"/>
    <w:rsid w:val="000878A4"/>
    <w:rsid w:val="000951FC"/>
    <w:rsid w:val="000D6F67"/>
    <w:rsid w:val="000D7AE0"/>
    <w:rsid w:val="00105F8C"/>
    <w:rsid w:val="00106C61"/>
    <w:rsid w:val="0011198A"/>
    <w:rsid w:val="00144FFA"/>
    <w:rsid w:val="00151A37"/>
    <w:rsid w:val="00172D7F"/>
    <w:rsid w:val="00177B9C"/>
    <w:rsid w:val="0018684E"/>
    <w:rsid w:val="00196CE1"/>
    <w:rsid w:val="001A14B7"/>
    <w:rsid w:val="001A4A94"/>
    <w:rsid w:val="001B557D"/>
    <w:rsid w:val="001C5B35"/>
    <w:rsid w:val="001D6510"/>
    <w:rsid w:val="00220A25"/>
    <w:rsid w:val="00231161"/>
    <w:rsid w:val="00235E35"/>
    <w:rsid w:val="00240E8E"/>
    <w:rsid w:val="00271EFE"/>
    <w:rsid w:val="002860DF"/>
    <w:rsid w:val="0029023B"/>
    <w:rsid w:val="002A0034"/>
    <w:rsid w:val="002A0C97"/>
    <w:rsid w:val="002A1F4C"/>
    <w:rsid w:val="002C0E78"/>
    <w:rsid w:val="002C7E83"/>
    <w:rsid w:val="002D7E95"/>
    <w:rsid w:val="002E2380"/>
    <w:rsid w:val="002E24E0"/>
    <w:rsid w:val="002E589E"/>
    <w:rsid w:val="002F2187"/>
    <w:rsid w:val="002F279C"/>
    <w:rsid w:val="002F379E"/>
    <w:rsid w:val="002F6DE2"/>
    <w:rsid w:val="00306350"/>
    <w:rsid w:val="003178D4"/>
    <w:rsid w:val="00340C98"/>
    <w:rsid w:val="003433DA"/>
    <w:rsid w:val="00345260"/>
    <w:rsid w:val="00367237"/>
    <w:rsid w:val="0038721A"/>
    <w:rsid w:val="00390519"/>
    <w:rsid w:val="003A3619"/>
    <w:rsid w:val="003C662C"/>
    <w:rsid w:val="003E3130"/>
    <w:rsid w:val="00405A31"/>
    <w:rsid w:val="0043175E"/>
    <w:rsid w:val="004317EC"/>
    <w:rsid w:val="00447E9B"/>
    <w:rsid w:val="004672D4"/>
    <w:rsid w:val="00467F15"/>
    <w:rsid w:val="0047519E"/>
    <w:rsid w:val="00475A43"/>
    <w:rsid w:val="004950E0"/>
    <w:rsid w:val="004B10F1"/>
    <w:rsid w:val="004E0D44"/>
    <w:rsid w:val="004E2398"/>
    <w:rsid w:val="004E5D36"/>
    <w:rsid w:val="004E7E95"/>
    <w:rsid w:val="004F5DC3"/>
    <w:rsid w:val="00515BA0"/>
    <w:rsid w:val="00533624"/>
    <w:rsid w:val="00557B41"/>
    <w:rsid w:val="00582931"/>
    <w:rsid w:val="00584E97"/>
    <w:rsid w:val="005A084E"/>
    <w:rsid w:val="005A52B1"/>
    <w:rsid w:val="005F0268"/>
    <w:rsid w:val="00612CEB"/>
    <w:rsid w:val="00617BD1"/>
    <w:rsid w:val="00620703"/>
    <w:rsid w:val="00630B92"/>
    <w:rsid w:val="00647AC5"/>
    <w:rsid w:val="006536A0"/>
    <w:rsid w:val="00663B34"/>
    <w:rsid w:val="006A1C41"/>
    <w:rsid w:val="006C00F4"/>
    <w:rsid w:val="006E297D"/>
    <w:rsid w:val="007025C9"/>
    <w:rsid w:val="00715BD7"/>
    <w:rsid w:val="007300E4"/>
    <w:rsid w:val="00781253"/>
    <w:rsid w:val="007A36C3"/>
    <w:rsid w:val="007C0994"/>
    <w:rsid w:val="007D7F0E"/>
    <w:rsid w:val="007E457F"/>
    <w:rsid w:val="007F33C6"/>
    <w:rsid w:val="00803BF3"/>
    <w:rsid w:val="00805A73"/>
    <w:rsid w:val="00863E62"/>
    <w:rsid w:val="00876E80"/>
    <w:rsid w:val="00881341"/>
    <w:rsid w:val="00882A25"/>
    <w:rsid w:val="00885BCC"/>
    <w:rsid w:val="0088788F"/>
    <w:rsid w:val="008979D6"/>
    <w:rsid w:val="008A2780"/>
    <w:rsid w:val="008A3182"/>
    <w:rsid w:val="008B072B"/>
    <w:rsid w:val="008C143B"/>
    <w:rsid w:val="008C57D5"/>
    <w:rsid w:val="008D1C56"/>
    <w:rsid w:val="008D50E5"/>
    <w:rsid w:val="008E569F"/>
    <w:rsid w:val="008F0D42"/>
    <w:rsid w:val="008F2C51"/>
    <w:rsid w:val="008F7157"/>
    <w:rsid w:val="00902F56"/>
    <w:rsid w:val="00907DE8"/>
    <w:rsid w:val="00911C14"/>
    <w:rsid w:val="00922A20"/>
    <w:rsid w:val="00945943"/>
    <w:rsid w:val="00957242"/>
    <w:rsid w:val="00960A4E"/>
    <w:rsid w:val="0098381A"/>
    <w:rsid w:val="009D2B74"/>
    <w:rsid w:val="009D3EF9"/>
    <w:rsid w:val="009E7541"/>
    <w:rsid w:val="00A01762"/>
    <w:rsid w:val="00A1674D"/>
    <w:rsid w:val="00A22AE8"/>
    <w:rsid w:val="00A26130"/>
    <w:rsid w:val="00A26172"/>
    <w:rsid w:val="00A2632D"/>
    <w:rsid w:val="00A35915"/>
    <w:rsid w:val="00A35D0B"/>
    <w:rsid w:val="00A4468C"/>
    <w:rsid w:val="00A45120"/>
    <w:rsid w:val="00A66B8B"/>
    <w:rsid w:val="00A747DD"/>
    <w:rsid w:val="00A7625C"/>
    <w:rsid w:val="00A77536"/>
    <w:rsid w:val="00AB722C"/>
    <w:rsid w:val="00AC6C7B"/>
    <w:rsid w:val="00AD05B1"/>
    <w:rsid w:val="00AD1EFC"/>
    <w:rsid w:val="00AE2CF0"/>
    <w:rsid w:val="00B04C44"/>
    <w:rsid w:val="00B14C69"/>
    <w:rsid w:val="00B205E5"/>
    <w:rsid w:val="00B31D95"/>
    <w:rsid w:val="00B360AA"/>
    <w:rsid w:val="00B54A61"/>
    <w:rsid w:val="00B7571C"/>
    <w:rsid w:val="00B947D0"/>
    <w:rsid w:val="00BD4127"/>
    <w:rsid w:val="00BE54E4"/>
    <w:rsid w:val="00C10B17"/>
    <w:rsid w:val="00C25671"/>
    <w:rsid w:val="00C316CA"/>
    <w:rsid w:val="00C45B3F"/>
    <w:rsid w:val="00C51699"/>
    <w:rsid w:val="00C90A97"/>
    <w:rsid w:val="00C92741"/>
    <w:rsid w:val="00C96AA6"/>
    <w:rsid w:val="00CB0CB0"/>
    <w:rsid w:val="00CE2EC0"/>
    <w:rsid w:val="00CF1600"/>
    <w:rsid w:val="00CF1857"/>
    <w:rsid w:val="00D00AF3"/>
    <w:rsid w:val="00D0171A"/>
    <w:rsid w:val="00D053EE"/>
    <w:rsid w:val="00D06FA3"/>
    <w:rsid w:val="00D205FB"/>
    <w:rsid w:val="00D265D2"/>
    <w:rsid w:val="00D37D68"/>
    <w:rsid w:val="00D44B9A"/>
    <w:rsid w:val="00D4651F"/>
    <w:rsid w:val="00D47DD1"/>
    <w:rsid w:val="00D56DB7"/>
    <w:rsid w:val="00D629F0"/>
    <w:rsid w:val="00D67027"/>
    <w:rsid w:val="00D82937"/>
    <w:rsid w:val="00D83813"/>
    <w:rsid w:val="00D845C2"/>
    <w:rsid w:val="00D9690C"/>
    <w:rsid w:val="00DB44C9"/>
    <w:rsid w:val="00DB7D9D"/>
    <w:rsid w:val="00DD038E"/>
    <w:rsid w:val="00DE5DE6"/>
    <w:rsid w:val="00DE6A83"/>
    <w:rsid w:val="00DF3886"/>
    <w:rsid w:val="00E04209"/>
    <w:rsid w:val="00E107B1"/>
    <w:rsid w:val="00E1284A"/>
    <w:rsid w:val="00E248F6"/>
    <w:rsid w:val="00E32667"/>
    <w:rsid w:val="00E37DAC"/>
    <w:rsid w:val="00E83EA3"/>
    <w:rsid w:val="00E949F2"/>
    <w:rsid w:val="00EA1C9E"/>
    <w:rsid w:val="00EB03C1"/>
    <w:rsid w:val="00EB3F34"/>
    <w:rsid w:val="00EC2F0A"/>
    <w:rsid w:val="00EC7C92"/>
    <w:rsid w:val="00F044CC"/>
    <w:rsid w:val="00F15ADA"/>
    <w:rsid w:val="00F23E5A"/>
    <w:rsid w:val="00F470AF"/>
    <w:rsid w:val="00F503FA"/>
    <w:rsid w:val="00F60A7E"/>
    <w:rsid w:val="00F65462"/>
    <w:rsid w:val="00F6578A"/>
    <w:rsid w:val="00F819F7"/>
    <w:rsid w:val="00F91813"/>
    <w:rsid w:val="00F91F34"/>
    <w:rsid w:val="00F959EB"/>
    <w:rsid w:val="00F96833"/>
    <w:rsid w:val="00FA6562"/>
    <w:rsid w:val="00FA70A3"/>
    <w:rsid w:val="00FB5EE2"/>
    <w:rsid w:val="00FE3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D343E"/>
  <w15:docId w15:val="{794A885A-4D1A-4BF4-A2FE-61C2A070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92"/>
    <w:pPr>
      <w:spacing w:after="240"/>
    </w:pPr>
    <w:rPr>
      <w:rFonts w:ascii="Arial" w:eastAsia="Arial" w:hAnsi="Arial" w:cs="Arial"/>
      <w:lang w:val="en-GB"/>
    </w:rPr>
  </w:style>
  <w:style w:type="paragraph" w:styleId="Heading1">
    <w:name w:val="heading 1"/>
    <w:basedOn w:val="Normal"/>
    <w:link w:val="Heading1Char"/>
    <w:uiPriority w:val="9"/>
    <w:qFormat/>
    <w:rsid w:val="00EC7C92"/>
    <w:pPr>
      <w:keepNext/>
      <w:keepLines/>
      <w:widowControl/>
      <w:autoSpaceDE/>
      <w:autoSpaceDN/>
      <w:spacing w:before="240"/>
      <w:outlineLvl w:val="0"/>
    </w:pPr>
    <w:rPr>
      <w:rFonts w:eastAsiaTheme="majorEastAsia"/>
      <w:color w:val="1E5D4D"/>
      <w:sz w:val="36"/>
      <w:szCs w:val="36"/>
    </w:rPr>
  </w:style>
  <w:style w:type="paragraph" w:styleId="Heading2">
    <w:name w:val="heading 2"/>
    <w:basedOn w:val="Normal"/>
    <w:next w:val="Normal"/>
    <w:link w:val="Heading2Char"/>
    <w:uiPriority w:val="9"/>
    <w:unhideWhenUsed/>
    <w:qFormat/>
    <w:rsid w:val="00EC7C92"/>
    <w:pPr>
      <w:keepNext/>
      <w:keepLines/>
      <w:widowControl/>
      <w:autoSpaceDE/>
      <w:autoSpaceDN/>
      <w:spacing w:before="40"/>
      <w:outlineLvl w:val="1"/>
    </w:pPr>
    <w:rPr>
      <w:rFonts w:eastAsiaTheme="majorEastAsia"/>
      <w:b/>
      <w:bCs/>
      <w:color w:val="1E5D4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customStyle="1" w:styleId="GBCReportBodyHeading">
    <w:name w:val="GBC Report Body Heading"/>
    <w:basedOn w:val="Normal"/>
    <w:next w:val="Normal"/>
    <w:rsid w:val="002E2380"/>
    <w:pPr>
      <w:keepNext/>
      <w:widowControl/>
      <w:autoSpaceDE/>
      <w:autoSpaceDN/>
      <w:outlineLvl w:val="0"/>
    </w:pPr>
    <w:rPr>
      <w:rFonts w:eastAsia="Times New Roman" w:cs="Times New Roman"/>
      <w:b/>
      <w:lang w:eastAsia="en-GB"/>
    </w:rPr>
  </w:style>
  <w:style w:type="character" w:styleId="Hyperlink">
    <w:name w:val="Hyperlink"/>
    <w:semiHidden/>
    <w:rsid w:val="00CB0CB0"/>
    <w:rPr>
      <w:color w:val="0000FF"/>
      <w:u w:val="single"/>
    </w:rPr>
  </w:style>
  <w:style w:type="character" w:styleId="FollowedHyperlink">
    <w:name w:val="FollowedHyperlink"/>
    <w:basedOn w:val="DefaultParagraphFont"/>
    <w:uiPriority w:val="99"/>
    <w:semiHidden/>
    <w:unhideWhenUsed/>
    <w:rsid w:val="00CB0CB0"/>
    <w:rPr>
      <w:color w:val="800080" w:themeColor="followedHyperlink"/>
      <w:u w:val="single"/>
    </w:rPr>
  </w:style>
  <w:style w:type="character" w:styleId="CommentReference">
    <w:name w:val="annotation reference"/>
    <w:uiPriority w:val="99"/>
    <w:semiHidden/>
    <w:unhideWhenUsed/>
    <w:rsid w:val="003178D4"/>
    <w:rPr>
      <w:sz w:val="16"/>
      <w:szCs w:val="16"/>
    </w:rPr>
  </w:style>
  <w:style w:type="paragraph" w:styleId="CommentText">
    <w:name w:val="annotation text"/>
    <w:basedOn w:val="Normal"/>
    <w:link w:val="CommentTextChar"/>
    <w:uiPriority w:val="99"/>
    <w:unhideWhenUsed/>
    <w:rsid w:val="003178D4"/>
    <w:pPr>
      <w:widowControl/>
      <w:suppressAutoHyphens/>
      <w:autoSpaceDE/>
      <w:autoSpaceDN/>
    </w:pPr>
    <w:rPr>
      <w:rFonts w:eastAsia="Times New Roman" w:cs="Times New Roman"/>
      <w:sz w:val="20"/>
      <w:szCs w:val="20"/>
      <w:lang w:eastAsia="ar-SA"/>
    </w:rPr>
  </w:style>
  <w:style w:type="character" w:customStyle="1" w:styleId="CommentTextChar">
    <w:name w:val="Comment Text Char"/>
    <w:basedOn w:val="DefaultParagraphFont"/>
    <w:link w:val="CommentText"/>
    <w:uiPriority w:val="99"/>
    <w:rsid w:val="003178D4"/>
    <w:rPr>
      <w:rFonts w:ascii="Arial" w:eastAsia="Times New Roman" w:hAnsi="Arial" w:cs="Times New Roman"/>
      <w:sz w:val="20"/>
      <w:szCs w:val="20"/>
      <w:lang w:val="en-GB" w:eastAsia="ar-SA"/>
    </w:rPr>
  </w:style>
  <w:style w:type="paragraph" w:customStyle="1" w:styleId="Default">
    <w:name w:val="Default"/>
    <w:rsid w:val="00F91813"/>
    <w:pPr>
      <w:widowControl/>
      <w:adjustRightInd w:val="0"/>
    </w:pPr>
    <w:rPr>
      <w:rFonts w:ascii="Arial" w:eastAsia="Times New Roman" w:hAnsi="Arial" w:cs="Arial"/>
      <w:color w:val="000000"/>
      <w:sz w:val="24"/>
      <w:szCs w:val="24"/>
      <w:lang w:val="en-GB" w:eastAsia="en-GB"/>
    </w:rPr>
  </w:style>
  <w:style w:type="character" w:styleId="UnresolvedMention">
    <w:name w:val="Unresolved Mention"/>
    <w:basedOn w:val="DefaultParagraphFont"/>
    <w:uiPriority w:val="99"/>
    <w:semiHidden/>
    <w:unhideWhenUsed/>
    <w:rsid w:val="00882A25"/>
    <w:rPr>
      <w:color w:val="605E5C"/>
      <w:shd w:val="clear" w:color="auto" w:fill="E1DFDD"/>
    </w:rPr>
  </w:style>
  <w:style w:type="character" w:customStyle="1" w:styleId="cf01">
    <w:name w:val="cf01"/>
    <w:rsid w:val="002D7E95"/>
    <w:rPr>
      <w:rFonts w:ascii="Segoe UI" w:hAnsi="Segoe UI" w:cs="Segoe UI" w:hint="default"/>
      <w:sz w:val="18"/>
      <w:szCs w:val="18"/>
    </w:rPr>
  </w:style>
  <w:style w:type="paragraph" w:styleId="Header">
    <w:name w:val="header"/>
    <w:basedOn w:val="Normal"/>
    <w:link w:val="HeaderChar"/>
    <w:uiPriority w:val="99"/>
    <w:unhideWhenUsed/>
    <w:rsid w:val="00630B92"/>
    <w:pPr>
      <w:tabs>
        <w:tab w:val="center" w:pos="4513"/>
        <w:tab w:val="right" w:pos="9026"/>
      </w:tabs>
    </w:pPr>
  </w:style>
  <w:style w:type="character" w:customStyle="1" w:styleId="HeaderChar">
    <w:name w:val="Header Char"/>
    <w:basedOn w:val="DefaultParagraphFont"/>
    <w:link w:val="Header"/>
    <w:uiPriority w:val="99"/>
    <w:rsid w:val="00630B92"/>
    <w:rPr>
      <w:rFonts w:ascii="Arial" w:eastAsia="Arial" w:hAnsi="Arial" w:cs="Arial"/>
      <w:lang w:val="en-GB"/>
    </w:rPr>
  </w:style>
  <w:style w:type="paragraph" w:styleId="Footer">
    <w:name w:val="footer"/>
    <w:basedOn w:val="Normal"/>
    <w:link w:val="FooterChar"/>
    <w:uiPriority w:val="99"/>
    <w:unhideWhenUsed/>
    <w:rsid w:val="00630B92"/>
    <w:pPr>
      <w:tabs>
        <w:tab w:val="center" w:pos="4513"/>
        <w:tab w:val="right" w:pos="9026"/>
      </w:tabs>
    </w:pPr>
  </w:style>
  <w:style w:type="character" w:customStyle="1" w:styleId="FooterChar">
    <w:name w:val="Footer Char"/>
    <w:basedOn w:val="DefaultParagraphFont"/>
    <w:link w:val="Footer"/>
    <w:uiPriority w:val="99"/>
    <w:rsid w:val="00630B92"/>
    <w:rPr>
      <w:rFonts w:ascii="Arial" w:eastAsia="Arial" w:hAnsi="Arial" w:cs="Arial"/>
      <w:lang w:val="en-GB"/>
    </w:rPr>
  </w:style>
  <w:style w:type="character" w:customStyle="1" w:styleId="Heading1Char">
    <w:name w:val="Heading 1 Char"/>
    <w:basedOn w:val="DefaultParagraphFont"/>
    <w:link w:val="Heading1"/>
    <w:uiPriority w:val="9"/>
    <w:rsid w:val="00EC7C92"/>
    <w:rPr>
      <w:rFonts w:ascii="Arial" w:eastAsiaTheme="majorEastAsia" w:hAnsi="Arial" w:cs="Arial"/>
      <w:color w:val="1E5D4D"/>
      <w:sz w:val="36"/>
      <w:szCs w:val="36"/>
      <w:lang w:val="en-GB"/>
    </w:rPr>
  </w:style>
  <w:style w:type="character" w:customStyle="1" w:styleId="Heading2Char">
    <w:name w:val="Heading 2 Char"/>
    <w:basedOn w:val="DefaultParagraphFont"/>
    <w:link w:val="Heading2"/>
    <w:uiPriority w:val="9"/>
    <w:rsid w:val="00EC7C92"/>
    <w:rPr>
      <w:rFonts w:ascii="Arial" w:eastAsiaTheme="majorEastAsia" w:hAnsi="Arial" w:cs="Arial"/>
      <w:b/>
      <w:bCs/>
      <w:color w:val="1E5D4D"/>
      <w:sz w:val="26"/>
      <w:szCs w:val="26"/>
      <w:lang w:val="en-GB"/>
    </w:rPr>
  </w:style>
  <w:style w:type="paragraph" w:styleId="CommentSubject">
    <w:name w:val="annotation subject"/>
    <w:basedOn w:val="CommentText"/>
    <w:next w:val="CommentText"/>
    <w:link w:val="CommentSubjectChar"/>
    <w:uiPriority w:val="99"/>
    <w:semiHidden/>
    <w:unhideWhenUsed/>
    <w:rsid w:val="002F379E"/>
    <w:pPr>
      <w:widowControl w:val="0"/>
      <w:suppressAutoHyphens w:val="0"/>
      <w:autoSpaceDE w:val="0"/>
      <w:autoSpaceDN w:val="0"/>
    </w:pPr>
    <w:rPr>
      <w:rFonts w:eastAsia="Arial" w:cs="Arial"/>
      <w:b/>
      <w:bCs/>
      <w:lang w:eastAsia="en-US"/>
    </w:rPr>
  </w:style>
  <w:style w:type="character" w:customStyle="1" w:styleId="CommentSubjectChar">
    <w:name w:val="Comment Subject Char"/>
    <w:basedOn w:val="CommentTextChar"/>
    <w:link w:val="CommentSubject"/>
    <w:uiPriority w:val="99"/>
    <w:semiHidden/>
    <w:rsid w:val="002F379E"/>
    <w:rPr>
      <w:rFonts w:ascii="Arial" w:eastAsia="Arial" w:hAnsi="Arial" w:cs="Arial"/>
      <w:b/>
      <w:bCs/>
      <w:sz w:val="20"/>
      <w:szCs w:val="20"/>
      <w:lang w:val="en-GB" w:eastAsia="ar-SA"/>
    </w:rPr>
  </w:style>
  <w:style w:type="character" w:styleId="Strong">
    <w:name w:val="Strong"/>
    <w:basedOn w:val="DefaultParagraphFont"/>
    <w:uiPriority w:val="22"/>
    <w:qFormat/>
    <w:rsid w:val="007C0994"/>
    <w:rPr>
      <w:b/>
      <w:bCs/>
    </w:rPr>
  </w:style>
  <w:style w:type="character" w:styleId="Emphasis">
    <w:name w:val="Emphasis"/>
    <w:basedOn w:val="DefaultParagraphFont"/>
    <w:uiPriority w:val="20"/>
    <w:qFormat/>
    <w:rsid w:val="007C0994"/>
    <w:rPr>
      <w:i/>
      <w:iCs/>
    </w:rPr>
  </w:style>
  <w:style w:type="character" w:customStyle="1" w:styleId="BodyTextChar">
    <w:name w:val="Body Text Char"/>
    <w:basedOn w:val="DefaultParagraphFont"/>
    <w:link w:val="BodyText"/>
    <w:uiPriority w:val="1"/>
    <w:rsid w:val="00960A4E"/>
    <w:rPr>
      <w:rFonts w:ascii="Arial" w:eastAsia="Arial" w:hAnsi="Arial" w:cs="Arial"/>
      <w:sz w:val="24"/>
      <w:szCs w:val="24"/>
      <w:lang w:val="en-GB"/>
    </w:rPr>
  </w:style>
  <w:style w:type="character" w:customStyle="1" w:styleId="A5">
    <w:name w:val="A5"/>
    <w:uiPriority w:val="99"/>
    <w:rsid w:val="00960A4E"/>
    <w:rPr>
      <w:rFonts w:cs="HelveticaNeueLT Std Lt"/>
      <w:color w:val="000000"/>
    </w:rPr>
  </w:style>
  <w:style w:type="character" w:customStyle="1" w:styleId="cf11">
    <w:name w:val="cf11"/>
    <w:rsid w:val="00F470AF"/>
    <w:rPr>
      <w:rFonts w:ascii="Segoe UI" w:hAnsi="Segoe UI" w:cs="Segoe UI" w:hint="default"/>
      <w:color w:val="262626"/>
      <w:sz w:val="18"/>
      <w:szCs w:val="18"/>
    </w:rPr>
  </w:style>
  <w:style w:type="paragraph" w:styleId="NormalWeb">
    <w:name w:val="Normal (Web)"/>
    <w:basedOn w:val="Normal"/>
    <w:uiPriority w:val="99"/>
    <w:unhideWhenUsed/>
    <w:rsid w:val="00F470AF"/>
    <w:pPr>
      <w:widowControl/>
      <w:autoSpaceDE/>
      <w:autoSpaceDN/>
      <w:spacing w:before="100" w:beforeAutospacing="1" w:after="100" w:afterAutospacing="1" w:line="384"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023147">
      <w:bodyDiv w:val="1"/>
      <w:marLeft w:val="0"/>
      <w:marRight w:val="0"/>
      <w:marTop w:val="0"/>
      <w:marBottom w:val="0"/>
      <w:divBdr>
        <w:top w:val="none" w:sz="0" w:space="0" w:color="auto"/>
        <w:left w:val="none" w:sz="0" w:space="0" w:color="auto"/>
        <w:bottom w:val="none" w:sz="0" w:space="0" w:color="auto"/>
        <w:right w:val="none" w:sz="0" w:space="0" w:color="auto"/>
      </w:divBdr>
    </w:div>
    <w:div w:id="1829901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ravesham.gov.uk/planning/local-development-scheme" TargetMode="External"/><Relationship Id="rId18" Type="http://schemas.openxmlformats.org/officeDocument/2006/relationships/hyperlink" Target="https://www.cipfa.org/policy-and-guidance/publications/c/code-of-practice-on-local-authority-accounting-in-the-united-kingdom-202223-online" TargetMode="External"/><Relationship Id="rId26" Type="http://schemas.openxmlformats.org/officeDocument/2006/relationships/hyperlink" Target="https://www.gravesham.gov.uk/directory-record/142/risk-management-strategy" TargetMode="External"/><Relationship Id="rId39" Type="http://schemas.openxmlformats.org/officeDocument/2006/relationships/theme" Target="theme/theme1.xml"/><Relationship Id="rId21" Type="http://schemas.openxmlformats.org/officeDocument/2006/relationships/hyperlink" Target="https://www.cipfa.org/policy-and-guidance/publications/t/treasury-management-in-the-public-services-code-of-practice-and-crosssectoral-guidance-notes-2021-edition" TargetMode="External"/><Relationship Id="rId34" Type="http://schemas.openxmlformats.org/officeDocument/2006/relationships/hyperlink" Target="https://democracy.gravesham.gov.uk/ecCatDisplay.aspx?sch=doc&amp;cat=14111&amp;path=0" TargetMode="External"/><Relationship Id="rId7" Type="http://schemas.openxmlformats.org/officeDocument/2006/relationships/hyperlink" Target="https://www.gravesham.gov.uk/policies-strategies-open-data/corporate-governance" TargetMode="External"/><Relationship Id="rId12" Type="http://schemas.openxmlformats.org/officeDocument/2006/relationships/hyperlink" Target="https://www.gravesham.gov.uk/local-plan-policy/local-plan" TargetMode="External"/><Relationship Id="rId17" Type="http://schemas.openxmlformats.org/officeDocument/2006/relationships/hyperlink" Target="http://www.gravesham.gov.uk/home/about-the-council/budgets-audits-and-accounts/statement-of-accounts" TargetMode="External"/><Relationship Id="rId25" Type="http://schemas.openxmlformats.org/officeDocument/2006/relationships/hyperlink" Target="https://www.cipfa.org/policy-and-guidance/reports/the-role-of-the-head-of-internal-audit?crdm=0" TargetMode="External"/><Relationship Id="rId33" Type="http://schemas.openxmlformats.org/officeDocument/2006/relationships/hyperlink" Target="https://www.gravesham.gov.uk/contact-us/make-official-complaint/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ravesham.gov.uk/home/about-the-council/budgets-audits-and-accounts/budgets-and-budget-monitoring" TargetMode="External"/><Relationship Id="rId20" Type="http://schemas.openxmlformats.org/officeDocument/2006/relationships/hyperlink" Target="https://democracy.gravesham.gov.uk/ieListDocuments.aspx?CId=110&amp;MId=6045&amp;Ver=4" TargetMode="External"/><Relationship Id="rId29" Type="http://schemas.openxmlformats.org/officeDocument/2006/relationships/hyperlink" Target="https://www.gravesham.gov.uk/directory-record/118/partnerships-regis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avesham.gov.uk/corporateplan" TargetMode="External"/><Relationship Id="rId24" Type="http://schemas.openxmlformats.org/officeDocument/2006/relationships/hyperlink" Target="https://www.cipfa.org/policy-and-guidance/standards/public-sector-internal-audit-standards" TargetMode="External"/><Relationship Id="rId32" Type="http://schemas.openxmlformats.org/officeDocument/2006/relationships/hyperlink" Target="https://democracy.gravesham.gov.uk/ieListDocuments.aspx?CId=110&amp;MId=9283&amp;Ver=4"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ravesham.gov.uk/directory-record/178/medium-term-financial-strategy" TargetMode="External"/><Relationship Id="rId23" Type="http://schemas.openxmlformats.org/officeDocument/2006/relationships/hyperlink" Target="https://democracy.gravesham.gov.uk/ieListDocuments.aspx?CId=110&amp;MId=6042&amp;Ver=4" TargetMode="External"/><Relationship Id="rId28" Type="http://schemas.openxmlformats.org/officeDocument/2006/relationships/hyperlink" Target="https://democracy.gravesham.gov.uk/ieListDocuments.aspx?CId=144&amp;MId=6090&amp;Ver=4" TargetMode="External"/><Relationship Id="rId36" Type="http://schemas.openxmlformats.org/officeDocument/2006/relationships/hyperlink" Target="https://www.gravesham.gov.uk/consultations" TargetMode="External"/><Relationship Id="rId10" Type="http://schemas.openxmlformats.org/officeDocument/2006/relationships/hyperlink" Target="https://www.cipfa.org/policy-and-guidance/reports/the-role-of-the-chief-financial-officer-in-local-government" TargetMode="External"/><Relationship Id="rId19" Type="http://schemas.openxmlformats.org/officeDocument/2006/relationships/hyperlink" Target="https://www.gravesham.gov.uk/home/about-the-council/policies-strategies-open-data/strategies?result_235247_result_page=C" TargetMode="External"/><Relationship Id="rId31" Type="http://schemas.openxmlformats.org/officeDocument/2006/relationships/hyperlink" Target="https://www.gravesham.gov.uk/contact-us/make-official-complaint" TargetMode="External"/><Relationship Id="rId4" Type="http://schemas.openxmlformats.org/officeDocument/2006/relationships/webSettings" Target="webSettings.xml"/><Relationship Id="rId9" Type="http://schemas.openxmlformats.org/officeDocument/2006/relationships/hyperlink" Target="https://www.cipfa.org/policy-and-guidance/reports/the-role-of-the-chief-financial-officer-in-local-government" TargetMode="External"/><Relationship Id="rId14" Type="http://schemas.openxmlformats.org/officeDocument/2006/relationships/hyperlink" Target="https://www.cipfa.org/policy-and-guidance/publications/f/financial-management-code" TargetMode="External"/><Relationship Id="rId22" Type="http://schemas.openxmlformats.org/officeDocument/2006/relationships/hyperlink" Target="https://democracy.gravesham.gov.uk/ieListDocuments.aspx?CId=110&amp;MId=6045&amp;Ver=4" TargetMode="External"/><Relationship Id="rId27" Type="http://schemas.openxmlformats.org/officeDocument/2006/relationships/hyperlink" Target="https://www.gravesham.gov.uk/directory-record/119/corporate-risk-register" TargetMode="External"/><Relationship Id="rId30" Type="http://schemas.openxmlformats.org/officeDocument/2006/relationships/hyperlink" Target="https://www.local.gov.uk/publications/guide-effective-accountability-and-assurance-delivery-place-based-partnerships" TargetMode="External"/><Relationship Id="rId35" Type="http://schemas.openxmlformats.org/officeDocument/2006/relationships/hyperlink" Target="https://www.gravesham.gov.uk/support-advice/networking-promotion" TargetMode="External"/><Relationship Id="rId8" Type="http://schemas.openxmlformats.org/officeDocument/2006/relationships/hyperlink" Target="https://www.cipfa.org/policy-and-guidance/publications/d/delivering-good-governance-in-local-government-framework-2016-edition"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5345</Words>
  <Characters>30471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Annual governance statement</vt:lpstr>
    </vt:vector>
  </TitlesOfParts>
  <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governance statement</dc:title>
  <dc:creator>Mulcrow, Emma</dc:creator>
  <cp:lastModifiedBy>Emma Mulcrow</cp:lastModifiedBy>
  <cp:revision>3</cp:revision>
  <cp:lastPrinted>2024-06-14T08:48:00Z</cp:lastPrinted>
  <dcterms:created xsi:type="dcterms:W3CDTF">2026-03-06T12:07:00Z</dcterms:created>
  <dcterms:modified xsi:type="dcterms:W3CDTF">2026-03-06T12:08:00Z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Acrobat PDFMaker 21 for Word</vt:lpwstr>
  </property>
  <property fmtid="{D5CDD505-2E9C-101B-9397-08002B2CF9AE}" pid="4" name="LastSaved">
    <vt:filetime>2022-05-10T00:00:00Z</vt:filetime>
  </property>
</Properties>
</file>